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0"/>
        <w:jc w:val="both"/>
        <w:rPr>
          <w:rFonts w:hint="eastAsia" w:eastAsia="黑体"/>
          <w:b/>
          <w:bCs/>
          <w:color w:val="000000"/>
          <w:sz w:val="84"/>
        </w:rPr>
      </w:pPr>
      <w:r>
        <w:rPr>
          <w:rFonts w:hint="eastAsia" w:eastAsia="黑体"/>
          <w:b/>
          <w:bCs/>
          <w:color w:val="000000"/>
          <w:sz w:val="84"/>
        </w:rPr>
      </w:r>
      <w:r/>
    </w:p>
    <w:p>
      <w:pPr>
        <w:pStyle w:val="1030"/>
        <w:ind w:firstLine="0"/>
        <w:jc w:val="center"/>
        <w:keepLines w:val="0"/>
        <w:keepNext w:val="0"/>
        <w:pageBreakBefore w:val="0"/>
        <w:widowControl w:val="off"/>
        <w:rPr>
          <w:rFonts w:hint="eastAsia" w:eastAsia="黑体"/>
          <w:b/>
          <w:bCs/>
          <w:color w:val="000000"/>
          <w:sz w:val="84"/>
        </w:rPr>
      </w:pPr>
      <w:r>
        <w:rPr>
          <w:rFonts w:hint="eastAsia" w:eastAsia="黑体"/>
          <w:b/>
          <w:bCs/>
          <w:color w:val="000000"/>
          <w:sz w:val="84"/>
        </w:rPr>
        <w:t xml:space="preserve">招　标　文　件</w:t>
      </w:r>
      <w:r/>
    </w:p>
    <w:p>
      <w:pPr>
        <w:pStyle w:val="1030"/>
        <w:ind w:left="0" w:firstLine="1285"/>
        <w:jc w:val="both"/>
        <w:rPr>
          <w:rFonts w:hint="eastAsia"/>
          <w:b/>
          <w:bCs/>
          <w:color w:val="000000"/>
          <w:sz w:val="32"/>
        </w:rPr>
      </w:pPr>
      <w:r>
        <w:rPr>
          <w:rFonts w:hint="eastAsia"/>
          <w:b/>
          <w:bCs/>
          <w:color w:val="000000"/>
          <w:sz w:val="32"/>
        </w:rPr>
      </w:r>
      <w:r/>
    </w:p>
    <w:p>
      <w:pPr>
        <w:pStyle w:val="1030"/>
        <w:ind w:left="0" w:firstLine="1285"/>
        <w:jc w:val="both"/>
        <w:rPr>
          <w:rFonts w:hint="eastAsia"/>
          <w:b/>
          <w:bCs/>
          <w:color w:val="000000"/>
          <w:sz w:val="32"/>
        </w:rPr>
      </w:pPr>
      <w:r>
        <w:rPr>
          <w:rFonts w:hint="eastAsia"/>
          <w:b/>
          <w:bCs/>
          <w:color w:val="000000"/>
          <w:sz w:val="32"/>
        </w:rPr>
      </w:r>
      <w:r/>
    </w:p>
    <w:p>
      <w:pPr>
        <w:pStyle w:val="1030"/>
        <w:ind w:left="0" w:firstLine="1285"/>
        <w:jc w:val="both"/>
        <w:rPr>
          <w:rFonts w:hint="eastAsia"/>
          <w:b/>
          <w:bCs/>
          <w:color w:val="000000"/>
          <w:sz w:val="32"/>
        </w:rPr>
      </w:pPr>
      <w:r>
        <w:rPr>
          <w:rFonts w:hint="eastAsia"/>
          <w:b/>
          <w:bCs/>
          <w:color w:val="000000"/>
          <w:sz w:val="32"/>
        </w:rPr>
      </w:r>
      <w:r/>
    </w:p>
    <w:p>
      <w:pPr>
        <w:pStyle w:val="1030"/>
        <w:ind w:left="0" w:firstLine="1285"/>
        <w:jc w:val="both"/>
        <w:rPr>
          <w:rFonts w:hint="eastAsia"/>
          <w:b/>
          <w:bCs/>
          <w:color w:val="000000"/>
          <w:sz w:val="32"/>
        </w:rPr>
      </w:pPr>
      <w:r>
        <w:rPr>
          <w:rFonts w:hint="eastAsia"/>
          <w:b/>
          <w:bCs/>
          <w:color w:val="000000"/>
          <w:sz w:val="32"/>
        </w:rPr>
      </w:r>
      <w:r/>
    </w:p>
    <w:p>
      <w:pPr>
        <w:pStyle w:val="1030"/>
        <w:ind w:left="0" w:firstLine="1285"/>
        <w:jc w:val="both"/>
        <w:rPr>
          <w:rFonts w:hint="eastAsia"/>
          <w:b/>
          <w:bCs/>
          <w:color w:val="000000"/>
          <w:sz w:val="32"/>
        </w:rPr>
      </w:pPr>
      <w:r>
        <w:rPr>
          <w:rFonts w:hint="eastAsia"/>
          <w:b/>
          <w:bCs/>
          <w:color w:val="000000"/>
          <w:sz w:val="32"/>
        </w:rPr>
      </w:r>
      <w:r/>
    </w:p>
    <w:p>
      <w:pPr>
        <w:pStyle w:val="1030"/>
        <w:ind w:left="0" w:firstLine="1285"/>
        <w:jc w:val="both"/>
        <w:rPr>
          <w:rFonts w:hint="eastAsia"/>
          <w:b/>
          <w:bCs/>
          <w:color w:val="000000"/>
          <w:sz w:val="32"/>
        </w:rPr>
      </w:pPr>
      <w:r>
        <w:rPr>
          <w:rFonts w:hint="eastAsia"/>
          <w:b/>
          <w:bCs/>
          <w:color w:val="000000"/>
          <w:sz w:val="32"/>
        </w:rPr>
      </w:r>
      <w:r/>
    </w:p>
    <w:p>
      <w:pPr>
        <w:pStyle w:val="1030"/>
        <w:ind w:left="0" w:firstLine="1285"/>
        <w:jc w:val="both"/>
        <w:rPr>
          <w:rFonts w:hint="eastAsia" w:eastAsia="宋体" w:cs="Times New Roman"/>
          <w:b/>
          <w:bCs/>
          <w:sz w:val="36"/>
          <w:szCs w:val="36"/>
          <w:lang w:val="en-US" w:eastAsia="zh-CN"/>
        </w:rPr>
      </w:pPr>
      <w:r>
        <w:rPr>
          <w:rFonts w:hint="eastAsia"/>
          <w:b/>
          <w:bCs/>
          <w:color w:val="000000"/>
          <w:sz w:val="32"/>
        </w:rPr>
        <w:t xml:space="preserve">项目名称</w:t>
      </w:r>
      <w:r>
        <w:rPr>
          <w:rFonts w:hint="eastAsia" w:ascii="Arial" w:hAnsi="Arial" w:eastAsia="宋体" w:cs="Times New Roman"/>
          <w:b/>
          <w:bCs/>
          <w:color w:val="000000"/>
          <w:sz w:val="32"/>
        </w:rPr>
        <w:t xml:space="preserve">：</w:t>
      </w:r>
      <w:bookmarkStart w:id="0" w:name="OLE_LINK13"/>
      <w:r>
        <w:rPr>
          <w:rFonts w:hint="eastAsia" w:cs="Times New Roman"/>
          <w:b/>
          <w:bCs/>
          <w:color w:val="000000"/>
          <w:sz w:val="32"/>
          <w:lang w:val="en-US" w:eastAsia="zh-CN"/>
        </w:rPr>
        <w:t xml:space="preserve">江苏扬州化学工业园区环境管理系统“建管用”提升项目</w:t>
      </w:r>
      <w:bookmarkEnd w:id="0"/>
      <w:r/>
      <w:r/>
    </w:p>
    <w:p>
      <w:pPr>
        <w:ind w:firstLine="1285"/>
        <w:rPr>
          <w:rFonts w:hint="default"/>
          <w:b/>
          <w:bCs/>
          <w:color w:val="000000"/>
          <w:sz w:val="32"/>
          <w:lang w:val="en-US"/>
        </w:rPr>
      </w:pPr>
      <w:r>
        <w:rPr>
          <w:rFonts w:hint="eastAsia"/>
          <w:b/>
          <w:bCs/>
          <w:color w:val="000000"/>
          <w:sz w:val="32"/>
        </w:rPr>
        <w:t xml:space="preserve">项目编号：JSZC-321081-JZCG-G202</w:t>
      </w:r>
      <w:r>
        <w:rPr>
          <w:rFonts w:hint="eastAsia"/>
          <w:b/>
          <w:bCs/>
          <w:color w:val="000000"/>
          <w:sz w:val="32"/>
          <w:lang w:val="en-US" w:eastAsia="zh-CN"/>
        </w:rPr>
        <w:t xml:space="preserve">6</w:t>
      </w:r>
      <w:r>
        <w:rPr>
          <w:rFonts w:hint="eastAsia"/>
          <w:b/>
          <w:bCs/>
          <w:color w:val="000000"/>
          <w:sz w:val="32"/>
        </w:rPr>
        <w:t xml:space="preserve">-00</w:t>
      </w:r>
      <w:r>
        <w:rPr>
          <w:rFonts w:hint="eastAsia"/>
          <w:b/>
          <w:bCs/>
          <w:color w:val="000000"/>
          <w:sz w:val="32"/>
          <w:lang w:val="en-US" w:eastAsia="zh-CN"/>
        </w:rPr>
        <w:t xml:space="preserve">05</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30"/>
        <w:ind w:firstLine="0"/>
        <w:spacing w:before="0" w:after="0"/>
        <w:rPr>
          <w:rFonts w:hint="eastAsia" w:ascii="宋体" w:hAnsi="宋体"/>
          <w:color w:val="000000"/>
        </w:rPr>
      </w:pPr>
      <w:r>
        <w:rPr>
          <w:rFonts w:hint="eastAsia" w:ascii="宋体" w:hAnsi="宋体"/>
          <w:color w:val="000000"/>
        </w:rPr>
      </w:r>
      <w:r/>
    </w:p>
    <w:p>
      <w:pPr>
        <w:pStyle w:val="1030"/>
        <w:ind w:left="0" w:firstLine="0"/>
        <w:spacing w:before="0" w:after="0"/>
        <w:rPr>
          <w:rFonts w:hint="eastAsia" w:ascii="宋体" w:hAnsi="宋体"/>
          <w:color w:val="000000"/>
        </w:rPr>
      </w:pPr>
      <w:r>
        <w:rPr>
          <w:rFonts w:hint="eastAsia" w:ascii="宋体" w:hAnsi="宋体"/>
          <w:color w:val="000000"/>
        </w:rPr>
      </w:r>
      <w:r/>
    </w:p>
    <w:p>
      <w:pPr>
        <w:pStyle w:val="1030"/>
        <w:ind w:firstLine="0"/>
        <w:spacing w:before="0" w:after="0"/>
        <w:rPr>
          <w:rFonts w:hint="eastAsia" w:ascii="宋体" w:hAnsi="宋体"/>
          <w:color w:val="000000"/>
        </w:rPr>
      </w:pPr>
      <w:r>
        <w:rPr>
          <w:rFonts w:hint="eastAsia" w:ascii="宋体" w:hAnsi="宋体"/>
          <w:color w:val="000000"/>
        </w:rPr>
      </w:r>
      <w:r/>
    </w:p>
    <w:p>
      <w:pPr>
        <w:pStyle w:val="1030"/>
        <w:ind w:firstLine="0"/>
        <w:jc w:val="center"/>
        <w:keepLines w:val="0"/>
        <w:keepNext w:val="0"/>
        <w:pageBreakBefore w:val="0"/>
        <w:widowControl w:val="off"/>
        <w:rPr>
          <w:rFonts w:hint="eastAsia"/>
          <w:b/>
          <w:bCs/>
          <w:color w:val="000000"/>
          <w:sz w:val="32"/>
          <w:lang w:val="en-US" w:eastAsia="zh-CN"/>
        </w:rPr>
      </w:pPr>
      <w:r>
        <w:rPr>
          <w:rFonts w:hint="eastAsia"/>
          <w:b/>
          <w:bCs/>
          <w:color w:val="000000"/>
          <w:sz w:val="32"/>
          <w:lang w:val="en-US" w:eastAsia="zh-CN"/>
        </w:rPr>
        <w:t xml:space="preserve">扬州市公共资源交易中心仪征分中心</w:t>
      </w:r>
      <w:r/>
    </w:p>
    <w:p>
      <w:pPr>
        <w:pStyle w:val="1030"/>
        <w:ind w:firstLine="0"/>
        <w:jc w:val="center"/>
        <w:keepLines w:val="0"/>
        <w:keepNext w:val="0"/>
        <w:pageBreakBefore w:val="0"/>
        <w:widowControl w:val="off"/>
        <w:rPr>
          <w:rFonts w:hint="eastAsia" w:ascii="黑体" w:hAnsi="Arial" w:eastAsia="黑体"/>
          <w:b/>
          <w:color w:val="000000"/>
          <w:sz w:val="44"/>
        </w:rPr>
      </w:pPr>
      <w:r>
        <w:rPr>
          <w:rFonts w:hint="eastAsia"/>
          <w:b/>
          <w:bCs/>
          <w:color w:val="000000"/>
          <w:sz w:val="32"/>
          <w:u w:val="single"/>
          <w:lang w:val="en-US" w:eastAsia="zh-CN"/>
        </w:rPr>
        <w:t xml:space="preserve"> 2026 </w:t>
      </w:r>
      <w:r>
        <w:rPr>
          <w:rFonts w:hint="eastAsia"/>
          <w:b/>
          <w:bCs/>
          <w:color w:val="000000"/>
          <w:sz w:val="32"/>
        </w:rPr>
        <w:t xml:space="preserve">年</w:t>
      </w:r>
      <w:r>
        <w:rPr>
          <w:rFonts w:hint="eastAsia"/>
          <w:b/>
          <w:bCs/>
          <w:color w:val="000000"/>
          <w:sz w:val="32"/>
          <w:u w:val="single"/>
          <w:lang w:val="en-US" w:eastAsia="zh-CN"/>
        </w:rPr>
        <w:t xml:space="preserve"> 6 </w:t>
      </w:r>
      <w:r>
        <w:rPr>
          <w:rFonts w:hint="eastAsia"/>
          <w:b/>
          <w:bCs/>
          <w:color w:val="000000"/>
          <w:sz w:val="32"/>
        </w:rPr>
        <w:t xml:space="preserve">月</w:t>
      </w:r>
      <w:r>
        <w:rPr>
          <w:color w:val="000000"/>
        </w:rPr>
        <w:br w:type="page" w:clear="all"/>
      </w:r>
      <w:bookmarkStart w:id="1" w:name="_Toc120614210"/>
      <w:r/>
      <w:bookmarkStart w:id="2" w:name="_Toc513029200"/>
      <w:r/>
      <w:bookmarkStart w:id="3" w:name="_Toc479757206"/>
      <w:r/>
      <w:bookmarkStart w:id="4" w:name="_Toc16938516"/>
      <w:r/>
      <w:bookmarkStart w:id="5" w:name="_Toc523127445"/>
      <w:r/>
      <w:bookmarkStart w:id="6" w:name="_Toc20823272"/>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ff0000"/>
          <w:sz w:val="28"/>
        </w:rPr>
      </w:pPr>
      <w:r>
        <w:rPr>
          <w:rFonts w:hint="eastAsia" w:ascii="仿宋_GB2312" w:hAnsi="Arial" w:eastAsia="仿宋_GB2312"/>
          <w:b/>
          <w:color w:val="ff0000"/>
          <w:sz w:val="28"/>
        </w:rPr>
      </w:r>
      <w:r/>
    </w:p>
    <w:p>
      <w:pPr>
        <w:numPr>
          <w:ilvl w:val="0"/>
          <w:numId w:val="5"/>
        </w:numPr>
        <w:spacing w:line="480" w:lineRule="auto"/>
        <w:rPr>
          <w:rFonts w:hint="eastAsia" w:ascii="黑体" w:hAnsi="Showcard Gothic" w:eastAsia="黑体"/>
          <w:color w:val="auto"/>
          <w:sz w:val="32"/>
        </w:rPr>
        <w:outlineLvl w:val="0"/>
      </w:pPr>
      <w:r>
        <w:rPr>
          <w:rFonts w:hint="eastAsia" w:ascii="黑体" w:hAnsi="宋体" w:eastAsia="黑体"/>
          <w:color w:val="auto"/>
          <w:sz w:val="36"/>
        </w:rPr>
        <w:t xml:space="preserve">投标邀请</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w:t>
      </w:r>
      <w:r>
        <w:rPr>
          <w:rFonts w:hint="eastAsia" w:ascii="黑体" w:hAnsi="Showcard Gothic" w:eastAsia="黑体"/>
          <w:color w:val="auto"/>
          <w:sz w:val="36"/>
        </w:rPr>
        <w:t xml:space="preserve"> </w:t>
      </w:r>
      <w:r/>
    </w:p>
    <w:p>
      <w:pPr>
        <w:numPr>
          <w:ilvl w:val="0"/>
          <w:numId w:val="5"/>
        </w:numPr>
        <w:spacing w:line="480" w:lineRule="auto"/>
        <w:rPr>
          <w:rFonts w:hint="eastAsia" w:ascii="黑体" w:hAnsi="Showcard Gothic" w:eastAsia="黑体"/>
          <w:color w:val="auto"/>
          <w:sz w:val="36"/>
        </w:rPr>
        <w:outlineLvl w:val="0"/>
      </w:pPr>
      <w:r>
        <w:rPr>
          <w:rFonts w:hint="eastAsia" w:ascii="黑体" w:hAnsi="宋体" w:eastAsia="黑体"/>
          <w:bCs/>
          <w:color w:val="auto"/>
          <w:sz w:val="36"/>
          <w:szCs w:val="36"/>
        </w:rPr>
        <w:t xml:space="preserve">投标人须知</w:t>
      </w:r>
      <w:r>
        <w:rPr>
          <w:rFonts w:hint="eastAsia" w:ascii="黑体" w:hAnsi="Showcard Gothic" w:eastAsia="黑体"/>
          <w:color w:val="auto"/>
          <w:sz w:val="36"/>
          <w:szCs w:val="36"/>
        </w:rPr>
        <w:t xml:space="preserve">…</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6</w:t>
      </w:r>
      <w:r>
        <w:rPr>
          <w:rFonts w:hint="eastAsia" w:ascii="黑体" w:hAnsi="Showcard Gothic" w:eastAsia="黑体"/>
          <w:color w:val="auto"/>
          <w:sz w:val="36"/>
        </w:rPr>
        <w:t xml:space="preserve">  </w:t>
      </w:r>
      <w:r/>
    </w:p>
    <w:p>
      <w:pPr>
        <w:numPr>
          <w:ilvl w:val="0"/>
          <w:numId w:val="5"/>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合同文本</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16</w:t>
      </w:r>
      <w:r/>
    </w:p>
    <w:p>
      <w:pPr>
        <w:numPr>
          <w:ilvl w:val="0"/>
          <w:numId w:val="5"/>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采购需求</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19</w:t>
      </w:r>
      <w:bookmarkStart w:id="245" w:name="_GoBack"/>
      <w:r/>
      <w:bookmarkEnd w:id="245"/>
      <w:r/>
      <w:r/>
    </w:p>
    <w:p>
      <w:pPr>
        <w:numPr>
          <w:ilvl w:val="0"/>
          <w:numId w:val="5"/>
        </w:numPr>
        <w:spacing w:line="480" w:lineRule="auto"/>
        <w:rPr>
          <w:rFonts w:hint="eastAsia" w:ascii="黑体" w:hAnsi="Showcard Gothic" w:eastAsia="黑体"/>
          <w:color w:val="auto"/>
          <w:sz w:val="36"/>
        </w:rPr>
        <w:outlineLvl w:val="0"/>
      </w:pPr>
      <w:r>
        <w:rPr>
          <w:rFonts w:hint="eastAsia" w:ascii="黑体" w:hAnsi="宋体" w:eastAsia="黑体"/>
          <w:bCs/>
          <w:color w:val="auto"/>
          <w:sz w:val="36"/>
          <w:szCs w:val="36"/>
        </w:rPr>
        <w:t xml:space="preserve">评标方法与评标标准</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32</w:t>
      </w:r>
      <w:r/>
    </w:p>
    <w:p>
      <w:pPr>
        <w:numPr>
          <w:ilvl w:val="0"/>
          <w:numId w:val="5"/>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投标文件格式</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36</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42"/>
        <w:rPr>
          <w:rFonts w:hint="eastAsia" w:ascii="黑体" w:eastAsia="黑体"/>
          <w:bCs/>
          <w:color w:val="000000"/>
          <w:sz w:val="44"/>
          <w:szCs w:val="44"/>
        </w:rPr>
      </w:pPr>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ascii="Times New Roman" w:hAnsi="Times New Roman"/>
          <w:sz w:val="24"/>
          <w:szCs w:val="24"/>
        </w:rPr>
        <w:t xml:space="preserve">江苏扬州化学工业园区管理办公室</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扬州市公共资源交易中心仪征分中心</w:t>
      </w:r>
      <w:r>
        <w:rPr>
          <w:rFonts w:hint="eastAsia" w:ascii="宋体" w:hAnsi="宋体"/>
          <w:color w:val="000000"/>
          <w:sz w:val="24"/>
          <w:szCs w:val="24"/>
        </w:rPr>
        <w:t xml:space="preserve">就[</w:t>
      </w:r>
      <w:r>
        <w:rPr>
          <w:rFonts w:hint="eastAsia" w:ascii="Times New Roman" w:hAnsi="Times New Roman" w:eastAsia="宋体" w:cs="Times New Roman"/>
          <w:bCs/>
          <w:iCs/>
          <w:sz w:val="24"/>
          <w:szCs w:val="24"/>
          <w:lang w:val="en-US" w:eastAsia="zh-CN"/>
        </w:rPr>
        <w:t xml:space="preserve">江苏扬州化学工业园区环境管理系统“建管用”提升项目</w:t>
      </w:r>
      <w:r>
        <w:rPr>
          <w:rFonts w:hint="eastAsia" w:ascii="宋体" w:hAnsi="宋体"/>
          <w:color w:val="000000"/>
          <w:sz w:val="24"/>
          <w:szCs w:val="24"/>
        </w:rPr>
        <w:t xml:space="preserve">](</w:t>
      </w:r>
      <w:r>
        <w:rPr>
          <w:rFonts w:hint="eastAsia" w:ascii="宋体" w:hAnsi="宋体" w:eastAsia="宋体" w:cs="Times New Roman"/>
          <w:color w:val="000000"/>
          <w:sz w:val="24"/>
          <w:szCs w:val="24"/>
        </w:rPr>
        <w:t xml:space="preserve">JSZC-321081-JZCG-G202</w:t>
      </w:r>
      <w:r>
        <w:rPr>
          <w:rFonts w:hint="eastAsia" w:ascii="宋体" w:hAnsi="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-00</w:t>
      </w:r>
      <w:r>
        <w:rPr>
          <w:rFonts w:hint="eastAsia" w:ascii="宋体" w:hAnsi="宋体" w:cs="Times New Roman"/>
          <w:color w:val="000000"/>
          <w:sz w:val="24"/>
          <w:szCs w:val="24"/>
          <w:lang w:val="en-US" w:eastAsia="zh-CN"/>
        </w:rPr>
        <w:t xml:space="preserve">05</w:t>
      </w:r>
      <w:r>
        <w:rPr>
          <w:rFonts w:hint="eastAsia" w:ascii="宋体" w:hAnsi="宋体"/>
          <w:color w:val="000000"/>
          <w:sz w:val="24"/>
          <w:szCs w:val="24"/>
        </w:rPr>
        <w:t xml:space="preserve">)进行公开招标采购，欢迎符合条件的供应商投标。</w:t>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hint="eastAsia" w:ascii="Times New Roman" w:hAnsi="Times New Roman" w:eastAsia="宋体" w:cs="Times New Roman"/>
          <w:bCs/>
          <w:iCs/>
          <w:color w:val="auto"/>
          <w:sz w:val="24"/>
          <w:szCs w:val="24"/>
          <w:lang w:val="en-US" w:eastAsia="zh-CN"/>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Times New Roman"/>
          <w:bCs/>
          <w:iCs/>
          <w:sz w:val="24"/>
          <w:szCs w:val="24"/>
          <w:lang w:val="en-US" w:eastAsia="zh-CN"/>
        </w:rPr>
        <w:t xml:space="preserve">2025年省、市生态环境部门对化工园区环境管理建设管理建设提出提升要求，主要包括监测监控能力提升、运维质控与报警升级、高值分析与溯源提升、信息传输能力建设等方面内容。同时省工信、自然资源、生态环境等六部门联合印发的《江苏省化工园区认定工作标准（2025版）》要求化工园区应当建立完善的环境风险监控监管体系，按照《工业园区生态环境管理信息系统建设指南》（DB32/T 4709-2024）Ⅰ 类工业园区要求，</w:t>
      </w:r>
      <w:bookmarkStart w:id="7" w:name="OLE_LINK40"/>
      <w:r>
        <w:rPr>
          <w:rFonts w:hint="eastAsia" w:ascii="Times New Roman" w:hAnsi="Times New Roman" w:eastAsia="宋体" w:cs="Times New Roman"/>
          <w:bCs/>
          <w:iCs/>
          <w:sz w:val="24"/>
          <w:szCs w:val="24"/>
          <w:lang w:val="en-US" w:eastAsia="zh-CN"/>
        </w:rPr>
        <w:t xml:space="preserve">建设规范化的化工园区生态环境一园一档系统，系统中各类监测监控、环境管理数据应动态更新，并与省生态环境智慧监管平台实时共享</w:t>
      </w:r>
      <w:bookmarkEnd w:id="7"/>
      <w:r>
        <w:rPr>
          <w:rFonts w:hint="eastAsia" w:ascii="Times New Roman" w:hAnsi="Times New Roman" w:eastAsia="宋体" w:cs="Times New Roman"/>
          <w:bCs/>
          <w:iCs/>
          <w:sz w:val="24"/>
          <w:szCs w:val="24"/>
          <w:lang w:val="en-US" w:eastAsia="zh-CN"/>
        </w:rPr>
        <w:t xml:space="preserve">。根据以上有关要求，启动本项目建设。</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eastAsia="宋体" w:cs="宋体"/>
          <w:sz w:val="24"/>
          <w:szCs w:val="24"/>
          <w:u w:val="single"/>
          <w:lang w:val="en-US" w:eastAsia="zh-CN"/>
        </w:rPr>
        <w:t xml:space="preserve">江苏扬州化学工业园区环境管理系统“建管用”提升项</w:t>
      </w:r>
      <w:r>
        <w:rPr>
          <w:rFonts w:hint="eastAsia" w:ascii="宋体" w:hAnsi="宋体" w:eastAsia="宋体" w:cs="宋体"/>
          <w:sz w:val="24"/>
          <w:szCs w:val="24"/>
          <w:u w:val="single"/>
        </w:rPr>
        <w:t xml:space="preserve">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 2026</w:t>
      </w:r>
      <w:r>
        <w:rPr>
          <w:rFonts w:hint="eastAsia" w:ascii="宋体" w:hAnsi="宋体"/>
          <w:bCs/>
          <w:color w:val="000000"/>
          <w:sz w:val="24"/>
          <w:szCs w:val="24"/>
          <w:u w:val="single"/>
        </w:rPr>
        <w:t xml:space="preserve">年</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45"/>
        <w:ind w:firstLine="498"/>
        <w:spacing w:before="145" w:after="145" w:line="400" w:lineRule="exact"/>
        <w:rPr>
          <w:color w:val="000000"/>
        </w:rPr>
      </w:pPr>
      <w:r/>
      <w:bookmarkStart w:id="8" w:name="_Toc35393790"/>
      <w:r/>
      <w:bookmarkStart w:id="9" w:name="_Toc28359002"/>
      <w:r/>
      <w:bookmarkStart w:id="10" w:name="_Toc35393621"/>
      <w:r/>
      <w:bookmarkStart w:id="11" w:name="_Toc28359079"/>
      <w:r/>
      <w:bookmarkStart w:id="12" w:name="_Toc38985263"/>
      <w:r/>
      <w:bookmarkStart w:id="13" w:name="_Hlk24379207"/>
      <w:r>
        <w:rPr>
          <w:rFonts w:hint="eastAsia"/>
          <w:color w:val="000000"/>
        </w:rPr>
        <w:t xml:space="preserve">一、项目基本情况</w:t>
      </w:r>
      <w:bookmarkEnd w:id="8"/>
      <w:r/>
      <w:bookmarkEnd w:id="9"/>
      <w:r/>
      <w:bookmarkEnd w:id="10"/>
      <w:r/>
      <w:bookmarkEnd w:id="11"/>
      <w:r/>
      <w:bookmarkEnd w:id="12"/>
      <w:r/>
      <w:r/>
    </w:p>
    <w:p>
      <w:pPr>
        <w:ind w:firstLine="480"/>
        <w:spacing w:line="400" w:lineRule="exact"/>
        <w:rPr>
          <w:rFonts w:hint="default"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rPr>
        <w:t xml:space="preserve">JSZC-321081-JZCG-G202</w:t>
      </w:r>
      <w:r>
        <w:rPr>
          <w:rFonts w:hint="eastAsia" w:ascii="宋体" w:hAnsi="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-00</w:t>
      </w:r>
      <w:r>
        <w:rPr>
          <w:rFonts w:hint="eastAsia" w:ascii="宋体" w:hAnsi="宋体" w:cs="Times New Roman"/>
          <w:color w:val="000000"/>
          <w:sz w:val="24"/>
          <w:szCs w:val="24"/>
          <w:lang w:val="en-US" w:eastAsia="zh-CN"/>
        </w:rPr>
        <w:t xml:space="preserve">05</w:t>
      </w:r>
      <w:r/>
    </w:p>
    <w:p>
      <w:pPr>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2.项目名称：</w:t>
      </w:r>
      <w:r>
        <w:rPr>
          <w:rFonts w:hint="eastAsia" w:ascii="Times New Roman" w:hAnsi="Times New Roman" w:eastAsia="宋体" w:cs="Times New Roman"/>
          <w:bCs/>
          <w:iCs/>
          <w:sz w:val="24"/>
          <w:szCs w:val="24"/>
          <w:lang w:val="en-US" w:eastAsia="zh-CN"/>
        </w:rPr>
        <w:t xml:space="preserve">江苏扬州化学工业园区环境管理系统“建管用”提升项目</w:t>
      </w:r>
      <w:bookmarkEnd w:id="13"/>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62"/>
        <w:tblW w:w="7966"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6651"/>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665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6651"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s="宋体"/>
                <w:sz w:val="24"/>
                <w:szCs w:val="24"/>
                <w:lang w:val="en-US" w:eastAsia="zh-CN"/>
              </w:rPr>
              <w:t xml:space="preserve">160</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62"/>
        <w:tblW w:w="799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s="宋体"/>
                <w:sz w:val="24"/>
                <w:szCs w:val="24"/>
                <w:lang w:val="en-US" w:eastAsia="zh-CN"/>
              </w:rPr>
              <w:t xml:space="preserve">160</w:t>
            </w:r>
            <w:r/>
          </w:p>
        </w:tc>
      </w:tr>
    </w:tbl>
    <w:p>
      <w:pPr>
        <w:numPr>
          <w:ilvl w:val="0"/>
          <w:numId w:val="0"/>
        </w:numPr>
        <w:ind w:firstLine="480"/>
        <w:spacing w:line="400" w:lineRule="exact"/>
        <w:rPr>
          <w:rFonts w:hint="eastAsia" w:ascii="宋体" w:hAnsi="宋体"/>
          <w:color w:val="000000"/>
          <w:sz w:val="24"/>
          <w:szCs w:val="24"/>
        </w:rPr>
      </w:pPr>
      <w:r>
        <w:rPr>
          <w:rFonts w:hint="eastAsia" w:ascii="宋体" w:hAnsi="宋体" w:eastAsia="宋体" w:cs="Times New Roman"/>
          <w:color w:val="000000"/>
          <w:sz w:val="24"/>
          <w:szCs w:val="24"/>
          <w:lang w:val="en-US" w:eastAsia="zh-CN" w:bidi="ar-SA"/>
        </w:rPr>
        <w:t xml:space="preserve">5.</w:t>
      </w:r>
      <w:r>
        <w:rPr>
          <w:rFonts w:hint="eastAsia" w:ascii="宋体" w:hAnsi="宋体"/>
          <w:color w:val="000000"/>
          <w:sz w:val="24"/>
          <w:szCs w:val="24"/>
        </w:rPr>
        <w:t xml:space="preserve">采购需求（简介）：详细内容见本招标文件第四章  </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w:t>
      </w:r>
      <w:r>
        <w:rPr>
          <w:rFonts w:hint="eastAsia" w:ascii="宋体" w:hAnsi="宋体" w:cs="Times New Roman"/>
          <w:color w:val="auto"/>
          <w:sz w:val="24"/>
          <w:szCs w:val="24"/>
        </w:rPr>
        <w:t xml:space="preserve">自合同签订之日起2个月内完成功能上线</w:t>
      </w:r>
      <w:r>
        <w:rPr>
          <w:rFonts w:hint="eastAsia" w:ascii="宋体" w:hAnsi="宋体" w:cs="Times New Roman"/>
          <w:color w:val="auto"/>
          <w:sz w:val="24"/>
          <w:szCs w:val="24"/>
          <w:lang w:val="en-US" w:eastAsia="zh-CN"/>
        </w:rPr>
        <w:t xml:space="preserve">交付</w:t>
      </w:r>
      <w:r>
        <w:rPr>
          <w:rFonts w:hint="eastAsia" w:ascii="宋体" w:hAnsi="宋体" w:cs="Times New Roman"/>
          <w:color w:val="auto"/>
          <w:sz w:val="24"/>
          <w:szCs w:val="24"/>
        </w:rPr>
        <w:t xml:space="preserve">并试运行6个月，试运行期满后验收</w:t>
      </w:r>
      <w:r>
        <w:rPr>
          <w:rFonts w:hint="eastAsia" w:ascii="宋体" w:hAnsi="宋体" w:cs="Times New Roman"/>
          <w:color w:val="auto"/>
          <w:sz w:val="24"/>
          <w:szCs w:val="24"/>
          <w:lang w:val="en-US" w:eastAsia="zh-CN"/>
        </w:rPr>
        <w:t xml:space="preserve">合格</w:t>
      </w:r>
      <w:r>
        <w:rPr>
          <w:rFonts w:hint="eastAsia" w:ascii="宋体" w:hAnsi="宋体" w:cs="Times New Roman"/>
          <w:color w:val="auto"/>
          <w:sz w:val="24"/>
          <w:szCs w:val="24"/>
        </w:rPr>
        <w:t xml:space="preserve">。</w:t>
      </w:r>
      <w:r/>
    </w:p>
    <w:p>
      <w:pPr>
        <w:pStyle w:val="945"/>
        <w:ind w:firstLine="498"/>
        <w:spacing w:before="145" w:after="145" w:line="400" w:lineRule="exact"/>
        <w:rPr>
          <w:color w:val="000000"/>
        </w:rPr>
      </w:pPr>
      <w:r/>
      <w:bookmarkStart w:id="14" w:name="_Toc35393622"/>
      <w:r/>
      <w:bookmarkStart w:id="15" w:name="_Toc38985264"/>
      <w:r/>
      <w:bookmarkStart w:id="16" w:name="_Toc35393791"/>
      <w:r/>
      <w:bookmarkStart w:id="17" w:name="_Toc28359080"/>
      <w:r/>
      <w:bookmarkStart w:id="18" w:name="_Toc28359003"/>
      <w:r>
        <w:rPr>
          <w:rFonts w:hint="eastAsia"/>
          <w:color w:val="000000"/>
        </w:rPr>
        <w:t xml:space="preserve">二、申请人的资格要求：</w:t>
      </w:r>
      <w:bookmarkEnd w:id="14"/>
      <w:r/>
      <w:bookmarkEnd w:id="15"/>
      <w:r/>
      <w:bookmarkEnd w:id="16"/>
      <w:r/>
      <w:bookmarkEnd w:id="17"/>
      <w:r/>
      <w:bookmarkEnd w:id="18"/>
      <w:r/>
      <w:r/>
    </w:p>
    <w:p>
      <w:pPr>
        <w:ind w:firstLine="480"/>
        <w:spacing w:line="400" w:lineRule="exact"/>
        <w:rPr>
          <w:rFonts w:hint="eastAsia" w:ascii="宋体" w:hAnsi="宋体"/>
          <w:color w:val="000000"/>
          <w:sz w:val="24"/>
          <w:szCs w:val="24"/>
        </w:rPr>
      </w:pPr>
      <w:r/>
      <w:bookmarkStart w:id="19" w:name="_Toc28359004"/>
      <w:r/>
      <w:bookmarkStart w:id="20" w:name="_Toc35393792"/>
      <w:r/>
      <w:bookmarkStart w:id="21" w:name="_Toc38985265"/>
      <w:r/>
      <w:bookmarkStart w:id="22" w:name="_Toc28359081"/>
      <w:r/>
      <w:bookmarkStart w:id="23"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b/>
          <w:bCs/>
          <w:color w:val="auto"/>
          <w:sz w:val="24"/>
          <w:szCs w:val="24"/>
        </w:rPr>
        <w:t xml:space="preserve">本项目专门面向中小企业采购。</w:t>
      </w:r>
      <w:r>
        <w:rPr>
          <w:rFonts w:hint="eastAsia" w:ascii="宋体" w:hAnsi="宋体"/>
          <w:b w:val="0"/>
          <w:bCs w:val="0"/>
          <w:color w:val="auto"/>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62"/>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62"/>
        <w:tblW w:w="8523"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7269"/>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726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269"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62"/>
        <w:tblW w:w="853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7280"/>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28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728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9"/>
      <w:r/>
      <w:bookmarkEnd w:id="20"/>
      <w:r/>
      <w:bookmarkEnd w:id="21"/>
      <w:r/>
      <w:bookmarkEnd w:id="22"/>
      <w:r/>
      <w:bookmarkEnd w:id="23"/>
      <w:r/>
      <w:r/>
    </w:p>
    <w:p>
      <w:pPr>
        <w:pStyle w:val="945"/>
        <w:ind w:firstLine="498"/>
        <w:spacing w:before="145" w:after="145" w:line="400" w:lineRule="exact"/>
        <w:rPr>
          <w:color w:val="000000"/>
        </w:rPr>
      </w:pPr>
      <w:r/>
      <w:bookmarkStart w:id="24" w:name="_Toc28359082"/>
      <w:r/>
      <w:bookmarkStart w:id="25" w:name="_Toc28359005"/>
      <w:r/>
      <w:bookmarkStart w:id="26" w:name="_Toc35393793"/>
      <w:r/>
      <w:bookmarkStart w:id="27" w:name="_Toc38985266"/>
      <w:r/>
      <w:bookmarkStart w:id="28" w:name="_Toc35393624"/>
      <w:r>
        <w:rPr>
          <w:rFonts w:hint="eastAsia"/>
          <w:color w:val="000000"/>
        </w:rPr>
        <w:t xml:space="preserve">四、提交投标文件</w:t>
      </w:r>
      <w:bookmarkEnd w:id="24"/>
      <w:r/>
      <w:bookmarkEnd w:id="25"/>
      <w:r>
        <w:rPr>
          <w:rFonts w:hint="eastAsia"/>
          <w:color w:val="000000"/>
        </w:rPr>
        <w:t xml:space="preserve">截止时间、开标时间和地点</w:t>
      </w:r>
      <w:bookmarkEnd w:id="26"/>
      <w:r/>
      <w:bookmarkEnd w:id="27"/>
      <w:r/>
      <w:bookmarkEnd w:id="28"/>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u w:val="single"/>
        </w:rPr>
        <w:t xml:space="preserve">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9" w:name="_Toc35393625"/>
      <w:r/>
      <w:bookmarkStart w:id="30" w:name="_Toc38985267"/>
      <w:r/>
      <w:bookmarkStart w:id="31" w:name="_Toc28359007"/>
      <w:r/>
      <w:bookmarkStart w:id="32" w:name="_Toc28359084"/>
      <w:r/>
      <w:bookmarkStart w:id="33" w:name="_Toc35393794"/>
      <w:r>
        <w:rPr>
          <w:rFonts w:hint="eastAsia"/>
          <w:b/>
          <w:bCs/>
          <w:color w:val="000000"/>
          <w:sz w:val="32"/>
          <w:szCs w:val="32"/>
        </w:rPr>
        <w:t xml:space="preserve">五、公告期限</w:t>
      </w:r>
      <w:bookmarkEnd w:id="29"/>
      <w:r/>
      <w:bookmarkEnd w:id="30"/>
      <w:r/>
      <w:bookmarkEnd w:id="31"/>
      <w:r/>
      <w:bookmarkEnd w:id="32"/>
      <w:r/>
      <w:bookmarkEnd w:id="33"/>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45"/>
        <w:ind w:firstLine="498"/>
        <w:spacing w:before="145" w:after="145" w:line="400" w:lineRule="exact"/>
        <w:rPr>
          <w:color w:val="000000"/>
        </w:rPr>
      </w:pPr>
      <w:r/>
      <w:bookmarkStart w:id="34" w:name="_Toc38985268"/>
      <w:r/>
      <w:bookmarkStart w:id="35" w:name="_Toc35393626"/>
      <w:r/>
      <w:bookmarkStart w:id="36" w:name="_Toc35393795"/>
      <w:r>
        <w:rPr>
          <w:rFonts w:hint="eastAsia"/>
          <w:color w:val="000000"/>
        </w:rPr>
        <w:t xml:space="preserve">六、其他补充事宜</w:t>
      </w:r>
      <w:bookmarkEnd w:id="34"/>
      <w:r/>
      <w:bookmarkEnd w:id="35"/>
      <w:r/>
      <w:bookmarkEnd w:id="36"/>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45"/>
        <w:ind w:firstLine="498"/>
        <w:spacing w:before="145" w:after="145" w:line="400" w:lineRule="exact"/>
        <w:rPr>
          <w:color w:val="000000"/>
        </w:rPr>
      </w:pPr>
      <w:r/>
      <w:bookmarkStart w:id="37" w:name="_Toc28359008"/>
      <w:r/>
      <w:bookmarkStart w:id="38" w:name="_Toc38985269"/>
      <w:r/>
      <w:bookmarkStart w:id="39" w:name="_Toc35393796"/>
      <w:r/>
      <w:bookmarkStart w:id="40" w:name="_Toc35393627"/>
      <w:r/>
      <w:bookmarkStart w:id="41" w:name="_Toc28359085"/>
      <w:r>
        <w:rPr>
          <w:rFonts w:hint="eastAsia"/>
          <w:color w:val="000000"/>
        </w:rPr>
        <w:t xml:space="preserve">七、本次招标联系方式</w:t>
      </w:r>
      <w:bookmarkEnd w:id="37"/>
      <w:r/>
      <w:bookmarkEnd w:id="38"/>
      <w:r/>
      <w:bookmarkEnd w:id="39"/>
      <w:r/>
      <w:bookmarkEnd w:id="40"/>
      <w:r/>
      <w:bookmarkEnd w:id="41"/>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2" w:name="_Toc28359087"/>
      <w:r/>
      <w:bookmarkStart w:id="43"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720"/>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名 称：</w:t>
      </w:r>
      <w:r>
        <w:rPr>
          <w:rFonts w:hint="eastAsia" w:ascii="宋体" w:hAnsi="宋体"/>
          <w:color w:val="000000"/>
          <w:sz w:val="24"/>
          <w:szCs w:val="24"/>
          <w:lang w:val="en-US" w:eastAsia="zh-CN"/>
        </w:rPr>
        <w:t xml:space="preserve"> </w:t>
      </w:r>
      <w:r>
        <w:rPr>
          <w:rFonts w:hint="eastAsia" w:ascii="宋体" w:hAnsi="宋体" w:cs="Times New Roman"/>
          <w:color w:val="000000"/>
          <w:sz w:val="24"/>
          <w:szCs w:val="24"/>
          <w:u w:val="single"/>
          <w:lang w:val="en-US" w:eastAsia="zh-CN"/>
        </w:rPr>
        <w:t xml:space="preserve">江苏扬州化学工业园区管理办公室</w:t>
      </w:r>
      <w:r>
        <w:rPr>
          <w:rFonts w:hint="eastAsia" w:ascii="宋体" w:hAnsi="宋体"/>
          <w:color w:val="000000"/>
          <w:sz w:val="24"/>
          <w:szCs w:val="24"/>
          <w:u w:val="single"/>
          <w:lang w:val="en-US" w:eastAsia="zh-CN"/>
        </w:rPr>
        <w:t xml:space="preserve"> </w:t>
      </w:r>
      <w:r/>
    </w:p>
    <w:p>
      <w:pPr>
        <w:ind w:firstLine="720"/>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lang w:val="en-US" w:eastAsia="zh-CN"/>
        </w:rPr>
        <w:t xml:space="preserve"> </w:t>
      </w:r>
      <w:r>
        <w:rPr>
          <w:rFonts w:hint="eastAsia" w:ascii="宋体" w:hAnsi="宋体" w:cs="Times New Roman"/>
          <w:color w:val="000000"/>
          <w:sz w:val="24"/>
          <w:szCs w:val="24"/>
          <w:u w:val="single"/>
          <w:lang w:val="en-US" w:eastAsia="zh-CN"/>
        </w:rPr>
        <w:t xml:space="preserve">扬州市</w:t>
      </w:r>
      <w:r>
        <w:rPr>
          <w:rFonts w:hint="default" w:ascii="宋体" w:hAnsi="宋体" w:cs="Times New Roman"/>
          <w:color w:val="000000"/>
          <w:sz w:val="24"/>
          <w:szCs w:val="24"/>
          <w:u w:val="single"/>
          <w:lang w:val="en-US" w:eastAsia="zh-CN"/>
        </w:rPr>
        <w:t xml:space="preserve">仪征市万年南路9号</w:t>
      </w:r>
      <w:r>
        <w:rPr>
          <w:rFonts w:hint="eastAsia" w:ascii="宋体" w:hAnsi="宋体"/>
          <w:color w:val="000000"/>
          <w:sz w:val="24"/>
          <w:szCs w:val="24"/>
          <w:lang w:val="en-US" w:eastAsia="zh-CN"/>
        </w:rPr>
        <w:t xml:space="preserve"> </w:t>
      </w:r>
      <w:r/>
    </w:p>
    <w:p>
      <w:pPr>
        <w:ind w:firstLine="720"/>
        <w:spacing w:line="400" w:lineRule="exact"/>
        <w:rPr>
          <w:rFonts w:hint="default"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联系人：</w:t>
      </w:r>
      <w:r>
        <w:rPr>
          <w:rFonts w:hint="eastAsia" w:ascii="宋体" w:hAnsi="宋体" w:cs="Times New Roman"/>
          <w:color w:val="000000"/>
          <w:sz w:val="24"/>
          <w:szCs w:val="24"/>
          <w:highlight w:val="none"/>
          <w:u w:val="single"/>
          <w:lang w:val="en-US" w:eastAsia="zh-CN"/>
        </w:rPr>
        <w:t xml:space="preserve">吕敏</w:t>
      </w:r>
      <w:r/>
    </w:p>
    <w:p>
      <w:pPr>
        <w:ind w:firstLine="720"/>
        <w:spacing w:line="400" w:lineRule="exact"/>
        <w:rPr>
          <w:rFonts w:hint="default"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4" w:name="_Toc28359009"/>
      <w:r/>
      <w:bookmarkStart w:id="45" w:name="_Toc28359086"/>
      <w:r>
        <w:rPr>
          <w:rFonts w:hint="eastAsia" w:ascii="宋体" w:hAnsi="宋体"/>
          <w:color w:val="000000"/>
          <w:sz w:val="24"/>
          <w:szCs w:val="24"/>
          <w:highlight w:val="none"/>
          <w:u w:val="single"/>
          <w:lang w:val="en-US" w:eastAsia="zh-CN"/>
        </w:rPr>
        <w:t xml:space="preserve"> </w:t>
      </w:r>
      <w:r>
        <w:rPr>
          <w:rFonts w:hint="eastAsia" w:ascii="宋体" w:hAnsi="宋体" w:cs="Times New Roman"/>
          <w:color w:val="000000"/>
          <w:sz w:val="24"/>
          <w:szCs w:val="24"/>
          <w:highlight w:val="none"/>
          <w:u w:val="single"/>
          <w:lang w:val="en-US" w:eastAsia="zh-CN"/>
        </w:rPr>
        <w:t xml:space="preserve">17318875010</w:t>
      </w:r>
      <w:r>
        <w:rPr>
          <w:rFonts w:hint="eastAsia" w:ascii="宋体" w:hAnsi="宋体"/>
          <w:color w:val="000000"/>
          <w:sz w:val="24"/>
          <w:szCs w:val="24"/>
          <w:highlight w:val="none"/>
          <w:u w:val="single"/>
          <w:lang w:val="en-US" w:eastAsia="zh-CN"/>
        </w:rPr>
        <w:t xml:space="preserve"> </w:t>
      </w:r>
      <w:r/>
    </w:p>
    <w:p>
      <w:pPr>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4"/>
      <w:r/>
      <w:bookmarkEnd w:id="45"/>
      <w:r>
        <w:rPr>
          <w:rFonts w:hint="eastAsia" w:ascii="宋体" w:hAnsi="宋体" w:cs="宋体"/>
          <w:color w:val="000000"/>
          <w:sz w:val="24"/>
          <w:szCs w:val="24"/>
        </w:rPr>
        <w:t xml:space="preserve">扬州市公共资源交易中心</w:t>
      </w:r>
      <w:r>
        <w:rPr>
          <w:rFonts w:hint="eastAsia" w:ascii="宋体" w:hAnsi="宋体"/>
          <w:color w:val="000000"/>
          <w:sz w:val="24"/>
          <w:szCs w:val="24"/>
          <w:lang w:val="en-US" w:eastAsia="zh-CN"/>
        </w:rPr>
        <w:t xml:space="preserve">仪征分中心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仪征市西园北路39号 </w:t>
      </w:r>
      <w:r/>
    </w:p>
    <w:p>
      <w:pPr>
        <w:ind w:firstLine="720"/>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薛佳敏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0514-80290190 </w:t>
      </w:r>
      <w:bookmarkEnd w:id="42"/>
      <w:r/>
      <w:bookmarkEnd w:id="43"/>
      <w:r/>
      <w:r/>
    </w:p>
    <w:p>
      <w:pPr>
        <w:pStyle w:val="945"/>
        <w:numPr>
          <w:ilvl w:val="0"/>
          <w:numId w:val="6"/>
        </w:numPr>
        <w:ind w:firstLine="498"/>
        <w:spacing w:before="145" w:after="145" w:line="400" w:lineRule="exact"/>
        <w:rPr>
          <w:rFonts w:hint="eastAsia"/>
          <w:color w:val="000000"/>
        </w:rPr>
      </w:pPr>
      <w:r>
        <w:rPr>
          <w:rFonts w:hint="eastAsia"/>
          <w:color w:val="000000"/>
        </w:rPr>
        <w:t xml:space="preserve">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943"/>
        <w:ind w:firstLine="2426"/>
        <w:jc w:val="both"/>
        <w:keepLines/>
        <w:keepNext/>
        <w:pageBreakBefore w:val="0"/>
        <w:spacing w:line="240" w:lineRule="auto"/>
        <w:widowControl w:val="off"/>
        <w:rPr>
          <w:rFonts w:hint="eastAsia" w:ascii="黑体" w:eastAsia="黑体"/>
          <w:b w:val="0"/>
          <w:bCs w:val="0"/>
          <w:color w:val="000000"/>
        </w:rPr>
      </w:pPr>
      <w:r/>
      <w:bookmarkStart w:id="46" w:name="_Toc120614211"/>
      <w:r>
        <w:rPr>
          <w:rFonts w:hint="eastAsia" w:ascii="黑体" w:eastAsia="黑体"/>
          <w:color w:val="000000"/>
        </w:rPr>
        <w:t xml:space="preserve">第二章  </w:t>
      </w:r>
      <w:bookmarkEnd w:id="2"/>
      <w:r/>
      <w:bookmarkEnd w:id="3"/>
      <w:r/>
      <w:bookmarkEnd w:id="4"/>
      <w:r/>
      <w:bookmarkEnd w:id="5"/>
      <w:r/>
      <w:bookmarkEnd w:id="6"/>
      <w:r/>
      <w:bookmarkEnd w:id="46"/>
      <w:r/>
      <w:bookmarkStart w:id="47" w:name="_Toc120614213"/>
      <w:r/>
      <w:bookmarkStart w:id="48" w:name="_Toc513029202"/>
      <w:r/>
      <w:bookmarkStart w:id="49" w:name="_Toc20823274"/>
      <w:r/>
      <w:bookmarkStart w:id="50" w:name="_Toc16938518"/>
      <w:r>
        <w:rPr>
          <w:rFonts w:hint="eastAsia" w:ascii="黑体" w:eastAsia="黑体"/>
          <w:color w:val="000000"/>
        </w:rPr>
        <w:t xml:space="preserve">投标人须知</w:t>
      </w:r>
      <w:bookmarkEnd w:id="47"/>
      <w:r/>
      <w:bookmarkEnd w:id="48"/>
      <w:r/>
      <w:bookmarkEnd w:id="49"/>
      <w:r/>
      <w:bookmarkEnd w:id="50"/>
      <w:r/>
      <w:r/>
    </w:p>
    <w:p>
      <w:pPr>
        <w:pStyle w:val="945"/>
        <w:ind w:firstLine="498"/>
        <w:spacing w:before="145" w:after="145" w:line="400" w:lineRule="exact"/>
        <w:rPr>
          <w:rFonts w:hint="eastAsia"/>
          <w:color w:val="000000"/>
        </w:rPr>
      </w:pPr>
      <w:r/>
      <w:bookmarkStart w:id="51" w:name="_Toc120614214"/>
      <w:r/>
      <w:bookmarkStart w:id="52" w:name="_Toc513029203"/>
      <w:r/>
      <w:bookmarkStart w:id="53" w:name="_Toc20823275"/>
      <w:r/>
      <w:bookmarkStart w:id="54" w:name="_Toc16938519"/>
      <w:r>
        <w:rPr>
          <w:rFonts w:hint="eastAsia"/>
          <w:color w:val="000000"/>
        </w:rPr>
        <w:t xml:space="preserve">一、总则</w:t>
      </w:r>
      <w:bookmarkEnd w:id="51"/>
      <w:r/>
      <w:bookmarkEnd w:id="52"/>
      <w:r/>
      <w:bookmarkEnd w:id="53"/>
      <w:r/>
      <w:bookmarkEnd w:id="54"/>
      <w:r/>
      <w:r/>
    </w:p>
    <w:p>
      <w:pPr>
        <w:pStyle w:val="946"/>
        <w:ind w:firstLine="420"/>
        <w:spacing w:before="0" w:after="0" w:line="400" w:lineRule="exact"/>
        <w:rPr>
          <w:rFonts w:hint="eastAsia"/>
          <w:b w:val="0"/>
          <w:bCs w:val="0"/>
          <w:color w:val="000000"/>
        </w:rPr>
      </w:pPr>
      <w:r/>
      <w:bookmarkStart w:id="55" w:name="_Hlt16619475"/>
      <w:r/>
      <w:bookmarkEnd w:id="55"/>
      <w:r/>
      <w:bookmarkStart w:id="56" w:name="_Toc458694821"/>
      <w:r/>
      <w:bookmarkStart w:id="57" w:name="_Toc16938520"/>
      <w:r/>
      <w:bookmarkStart w:id="58" w:name="_Toc513029204"/>
      <w:r/>
      <w:bookmarkStart w:id="59" w:name="_Toc20823276"/>
      <w:r>
        <w:rPr>
          <w:rFonts w:hint="eastAsia"/>
          <w:b w:val="0"/>
          <w:bCs w:val="0"/>
          <w:color w:val="000000"/>
        </w:rPr>
        <w:t xml:space="preserve">1</w:t>
      </w:r>
      <w:bookmarkEnd w:id="56"/>
      <w:r>
        <w:rPr>
          <w:rFonts w:hint="eastAsia"/>
          <w:b w:val="0"/>
          <w:bCs w:val="0"/>
          <w:color w:val="000000"/>
        </w:rPr>
        <w:t xml:space="preserve">、招标方式</w:t>
      </w:r>
      <w:bookmarkEnd w:id="57"/>
      <w:r/>
      <w:bookmarkEnd w:id="58"/>
      <w:r/>
      <w:bookmarkEnd w:id="59"/>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46"/>
        <w:ind w:firstLine="420"/>
        <w:spacing w:before="0" w:after="0" w:line="400" w:lineRule="exact"/>
        <w:rPr>
          <w:rFonts w:hint="eastAsia"/>
          <w:b w:val="0"/>
          <w:bCs w:val="0"/>
          <w:color w:val="000000"/>
        </w:rPr>
      </w:pPr>
      <w:r/>
      <w:bookmarkStart w:id="60" w:name="_Toc20823277"/>
      <w:r/>
      <w:bookmarkStart w:id="61" w:name="_Toc513029205"/>
      <w:r/>
      <w:bookmarkStart w:id="62" w:name="_Toc16938521"/>
      <w:r>
        <w:rPr>
          <w:rFonts w:hint="eastAsia"/>
          <w:b w:val="0"/>
          <w:bCs w:val="0"/>
          <w:color w:val="000000"/>
        </w:rPr>
        <w:t xml:space="preserve">2、合格的投标人</w:t>
      </w:r>
      <w:bookmarkEnd w:id="60"/>
      <w:r/>
      <w:bookmarkEnd w:id="61"/>
      <w:r/>
      <w:bookmarkEnd w:id="62"/>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46"/>
        <w:ind w:firstLine="420"/>
        <w:spacing w:before="0" w:after="0" w:line="400" w:lineRule="exact"/>
        <w:rPr>
          <w:rFonts w:hint="eastAsia"/>
          <w:b w:val="0"/>
          <w:bCs w:val="0"/>
          <w:color w:val="000000"/>
        </w:rPr>
      </w:pPr>
      <w:r/>
      <w:bookmarkStart w:id="63" w:name="_Toc20823278"/>
      <w:r/>
      <w:bookmarkStart w:id="64" w:name="_Toc513029206"/>
      <w:r/>
      <w:bookmarkStart w:id="65" w:name="_Toc16938522"/>
      <w:r>
        <w:rPr>
          <w:rFonts w:hint="eastAsia"/>
          <w:b w:val="0"/>
          <w:bCs w:val="0"/>
          <w:color w:val="000000"/>
        </w:rPr>
        <w:t xml:space="preserve">3、适用法律</w:t>
      </w:r>
      <w:bookmarkEnd w:id="63"/>
      <w:r/>
      <w:bookmarkEnd w:id="64"/>
      <w:r/>
      <w:bookmarkEnd w:id="65"/>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46"/>
        <w:ind w:firstLine="420"/>
        <w:spacing w:before="0" w:after="0" w:line="400" w:lineRule="exact"/>
        <w:rPr>
          <w:rFonts w:hint="eastAsia"/>
          <w:b w:val="0"/>
          <w:bCs w:val="0"/>
          <w:color w:val="000000"/>
        </w:rPr>
      </w:pPr>
      <w:r/>
      <w:bookmarkStart w:id="66" w:name="_Toc462564067"/>
      <w:r/>
      <w:bookmarkStart w:id="67" w:name="_Toc20823279"/>
      <w:r/>
      <w:bookmarkStart w:id="68" w:name="_Toc16938523"/>
      <w:r/>
      <w:bookmarkStart w:id="69" w:name="_Toc513029207"/>
      <w:r>
        <w:rPr>
          <w:rFonts w:hint="eastAsia"/>
          <w:b w:val="0"/>
          <w:bCs w:val="0"/>
          <w:color w:val="000000"/>
        </w:rPr>
        <w:t xml:space="preserve">4、投标费用</w:t>
      </w:r>
      <w:bookmarkEnd w:id="66"/>
      <w:r/>
      <w:bookmarkEnd w:id="67"/>
      <w:r/>
      <w:bookmarkEnd w:id="68"/>
      <w:r/>
      <w:bookmarkEnd w:id="69"/>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46"/>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45"/>
        <w:ind w:firstLine="321"/>
        <w:spacing w:before="145" w:after="145" w:line="400" w:lineRule="exact"/>
        <w:rPr>
          <w:rFonts w:hint="eastAsia"/>
          <w:color w:val="000000"/>
        </w:rPr>
      </w:pPr>
      <w:r/>
      <w:bookmarkStart w:id="70" w:name="_Toc16938525"/>
      <w:r/>
      <w:bookmarkStart w:id="71" w:name="_Toc20823281"/>
      <w:r/>
      <w:bookmarkStart w:id="72" w:name="_Toc513029209"/>
      <w:r/>
      <w:bookmarkStart w:id="73" w:name="_Toc120614215"/>
      <w:r>
        <w:rPr>
          <w:rFonts w:hint="eastAsia"/>
          <w:color w:val="000000"/>
        </w:rPr>
        <w:t xml:space="preserve">二、招标文件</w:t>
      </w:r>
      <w:bookmarkEnd w:id="70"/>
      <w:r/>
      <w:bookmarkEnd w:id="71"/>
      <w:r/>
      <w:bookmarkEnd w:id="72"/>
      <w:r/>
      <w:bookmarkEnd w:id="73"/>
      <w:r/>
      <w:r/>
    </w:p>
    <w:p>
      <w:pPr>
        <w:pStyle w:val="946"/>
        <w:ind w:firstLine="420"/>
        <w:spacing w:before="0" w:after="0" w:line="400" w:lineRule="exact"/>
        <w:rPr>
          <w:rFonts w:hint="eastAsia"/>
          <w:b w:val="0"/>
          <w:bCs w:val="0"/>
          <w:color w:val="000000"/>
        </w:rPr>
      </w:pPr>
      <w:r/>
      <w:bookmarkStart w:id="74" w:name="_Toc20823282"/>
      <w:r/>
      <w:bookmarkStart w:id="75" w:name="_Toc16938526"/>
      <w:r/>
      <w:bookmarkStart w:id="76" w:name="_Toc513029210"/>
      <w:r>
        <w:rPr>
          <w:rFonts w:hint="eastAsia"/>
          <w:b w:val="0"/>
          <w:bCs w:val="0"/>
          <w:color w:val="000000"/>
        </w:rPr>
        <w:t xml:space="preserve">6、招标文件构成</w:t>
      </w:r>
      <w:bookmarkEnd w:id="74"/>
      <w:r/>
      <w:bookmarkEnd w:id="75"/>
      <w:r/>
      <w:bookmarkEnd w:id="76"/>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hAnsi="宋体"/>
          <w:b/>
          <w:bCs/>
          <w:color w:val="ff0000"/>
          <w:sz w:val="24"/>
          <w:szCs w:val="24"/>
          <w:shd w:val="clear" w:color="auto" w:fill="auto"/>
        </w:rPr>
        <w:t xml:space="preserve">（</w:t>
      </w:r>
      <w:r>
        <w:rPr>
          <w:rFonts w:hint="eastAsia" w:hAnsi="宋体"/>
          <w:b/>
          <w:bCs/>
          <w:color w:val="ff0000"/>
          <w:sz w:val="24"/>
          <w:szCs w:val="24"/>
          <w:shd w:val="clear" w:color="auto" w:fill="auto"/>
          <w:lang w:val="en-US" w:eastAsia="zh-CN"/>
        </w:rPr>
        <w:t xml:space="preserve">技术</w:t>
      </w:r>
      <w:r>
        <w:rPr>
          <w:rFonts w:hint="eastAsia" w:hAnsi="宋体"/>
          <w:b/>
          <w:bCs/>
          <w:color w:val="ff0000"/>
          <w:sz w:val="24"/>
          <w:szCs w:val="24"/>
          <w:shd w:val="clear" w:color="auto" w:fill="auto"/>
        </w:rPr>
        <w:t xml:space="preserve">方案（暗标）：详见评分表）</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6"/>
        <w:ind w:firstLine="560"/>
        <w:spacing w:before="0" w:after="0" w:line="400" w:lineRule="exact"/>
        <w:rPr>
          <w:rFonts w:hint="eastAsia"/>
          <w:b w:val="0"/>
          <w:bCs w:val="0"/>
          <w:color w:val="000000"/>
        </w:rPr>
      </w:pPr>
      <w:r/>
      <w:bookmarkStart w:id="77" w:name="_Toc462564071"/>
      <w:r/>
      <w:bookmarkStart w:id="78" w:name="_Toc16938528"/>
      <w:r/>
      <w:bookmarkStart w:id="79" w:name="_Toc20823284"/>
      <w:r/>
      <w:bookmarkStart w:id="80" w:name="_Toc513029212"/>
      <w:r>
        <w:rPr>
          <w:b w:val="0"/>
          <w:bCs w:val="0"/>
          <w:color w:val="000000"/>
        </w:rPr>
        <w:t xml:space="preserve">7</w:t>
      </w:r>
      <w:r>
        <w:rPr>
          <w:rFonts w:hint="eastAsia"/>
          <w:b w:val="0"/>
          <w:bCs w:val="0"/>
          <w:color w:val="000000"/>
        </w:rPr>
        <w:t xml:space="preserve">、招标文件的修改</w:t>
      </w:r>
      <w:bookmarkEnd w:id="77"/>
      <w:r/>
      <w:bookmarkEnd w:id="78"/>
      <w:r/>
      <w:bookmarkEnd w:id="79"/>
      <w:r/>
      <w:bookmarkEnd w:id="80"/>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45"/>
        <w:ind w:firstLine="482"/>
        <w:spacing w:before="145" w:after="145" w:line="400" w:lineRule="exact"/>
        <w:rPr>
          <w:rFonts w:hint="eastAsia"/>
          <w:color w:val="000000"/>
        </w:rPr>
      </w:pPr>
      <w:r/>
      <w:bookmarkStart w:id="81" w:name="_Toc16938529"/>
      <w:r/>
      <w:bookmarkStart w:id="82" w:name="_Toc462564072"/>
      <w:r/>
      <w:bookmarkStart w:id="83" w:name="_Toc120614216"/>
      <w:r/>
      <w:bookmarkStart w:id="84" w:name="_Toc20823285"/>
      <w:r/>
      <w:bookmarkStart w:id="85" w:name="_Toc513029213"/>
      <w:r>
        <w:rPr>
          <w:rFonts w:hint="eastAsia"/>
          <w:color w:val="000000"/>
        </w:rPr>
        <w:t xml:space="preserve">三、投标文件的编制</w:t>
      </w:r>
      <w:bookmarkEnd w:id="81"/>
      <w:r/>
      <w:bookmarkEnd w:id="82"/>
      <w:r/>
      <w:bookmarkEnd w:id="83"/>
      <w:r/>
      <w:bookmarkEnd w:id="84"/>
      <w:r/>
      <w:bookmarkEnd w:id="85"/>
      <w:r/>
      <w:r/>
    </w:p>
    <w:p>
      <w:pPr>
        <w:pStyle w:val="946"/>
        <w:ind w:firstLine="560"/>
        <w:spacing w:before="0" w:after="0" w:line="400" w:lineRule="exact"/>
        <w:rPr>
          <w:rFonts w:hint="eastAsia"/>
          <w:bCs w:val="0"/>
          <w:color w:val="000000"/>
        </w:rPr>
      </w:pPr>
      <w:r/>
      <w:bookmarkStart w:id="86" w:name="_Toc513029214"/>
      <w:r/>
      <w:bookmarkStart w:id="87" w:name="_Toc462564073"/>
      <w:r/>
      <w:bookmarkStart w:id="88" w:name="_Toc20823286"/>
      <w:r/>
      <w:bookmarkStart w:id="89" w:name="_Toc16938530"/>
      <w:r>
        <w:rPr>
          <w:b w:val="0"/>
          <w:bCs w:val="0"/>
          <w:color w:val="000000"/>
        </w:rPr>
        <w:t xml:space="preserve">8</w:t>
      </w:r>
      <w:r>
        <w:rPr>
          <w:rFonts w:hint="eastAsia"/>
          <w:b w:val="0"/>
          <w:bCs w:val="0"/>
          <w:color w:val="000000"/>
        </w:rPr>
        <w:t xml:space="preserve">、投标文件的语言及度量衡单位</w:t>
      </w:r>
      <w:bookmarkEnd w:id="86"/>
      <w:r/>
      <w:bookmarkEnd w:id="87"/>
      <w:r/>
      <w:bookmarkEnd w:id="88"/>
      <w:r/>
      <w:bookmarkEnd w:id="89"/>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46"/>
        <w:ind w:firstLine="420"/>
        <w:spacing w:before="0" w:after="0" w:line="400" w:lineRule="exact"/>
        <w:rPr>
          <w:rFonts w:hint="eastAsia"/>
          <w:b w:val="0"/>
          <w:bCs w:val="0"/>
          <w:color w:val="000000"/>
        </w:rPr>
      </w:pPr>
      <w:r/>
      <w:bookmarkStart w:id="90" w:name="_Toc513029215"/>
      <w:r/>
      <w:bookmarkStart w:id="91" w:name="_Toc20823287"/>
      <w:r/>
      <w:bookmarkStart w:id="92" w:name="_Toc462564074"/>
      <w:r/>
      <w:bookmarkStart w:id="93" w:name="_Toc16938531"/>
      <w:r>
        <w:rPr>
          <w:b w:val="0"/>
          <w:bCs w:val="0"/>
          <w:color w:val="000000"/>
        </w:rPr>
        <w:t xml:space="preserve">9</w:t>
      </w:r>
      <w:r>
        <w:rPr>
          <w:rFonts w:hint="eastAsia"/>
          <w:b w:val="0"/>
          <w:bCs w:val="0"/>
          <w:color w:val="000000"/>
        </w:rPr>
        <w:t xml:space="preserve">、投标文件构成</w:t>
      </w:r>
      <w:bookmarkEnd w:id="90"/>
      <w:r/>
      <w:bookmarkEnd w:id="91"/>
      <w:r/>
      <w:bookmarkEnd w:id="92"/>
      <w:r/>
      <w:bookmarkEnd w:id="93"/>
      <w:r/>
      <w:r/>
    </w:p>
    <w:p>
      <w:pPr>
        <w:pStyle w:val="785"/>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eastAsia="宋体" w:cs="Times New Roman"/>
          <w:color w:val="ff0000"/>
          <w:sz w:val="24"/>
        </w:rPr>
      </w:pPr>
      <w:r/>
      <w:bookmarkStart w:id="94" w:name="_Hlt26670360"/>
      <w:r/>
      <w:bookmarkEnd w:id="94"/>
      <w:r/>
      <w:bookmarkStart w:id="95" w:name="_Hlt26954838"/>
      <w:r/>
      <w:bookmarkEnd w:id="95"/>
      <w:r/>
      <w:bookmarkStart w:id="96" w:name="_Hlt26668975"/>
      <w:r/>
      <w:bookmarkEnd w:id="96"/>
      <w:r/>
      <w:bookmarkStart w:id="97" w:name="_Toc14577357"/>
      <w:r/>
      <w:bookmarkStart w:id="98" w:name="_Toc49090509"/>
      <w:r/>
      <w:bookmarkStart w:id="99" w:name="_Toc513029219"/>
      <w:r/>
      <w:bookmarkStart w:id="100" w:name="_Toc49090507"/>
      <w:r/>
      <w:bookmarkStart w:id="101" w:name="_Toc14577354"/>
      <w:r/>
      <w:bookmarkStart w:id="102" w:name="_Toc513029216"/>
      <w:r>
        <w:rPr>
          <w:rFonts w:hint="eastAsia" w:ascii="宋体" w:hAnsi="宋体" w:eastAsia="宋体" w:cs="Times New Roman"/>
          <w:color w:val="ff0000"/>
          <w:sz w:val="24"/>
          <w:lang w:val="en-US" w:eastAsia="zh-CN"/>
        </w:rPr>
        <w:t xml:space="preserve">9</w:t>
      </w:r>
      <w:r>
        <w:rPr>
          <w:rFonts w:hint="eastAsia" w:ascii="宋体" w:hAnsi="宋体" w:eastAsia="宋体" w:cs="Times New Roman"/>
          <w:color w:val="ff0000"/>
          <w:sz w:val="24"/>
        </w:rPr>
        <w:t xml:space="preserve">.2 </w:t>
      </w:r>
      <w:r>
        <w:rPr>
          <w:rFonts w:hint="eastAsia" w:ascii="宋体" w:hAnsi="宋体" w:eastAsia="宋体" w:cs="Times New Roman"/>
          <w:color w:val="ff0000"/>
          <w:sz w:val="24"/>
          <w:lang w:val="en-US" w:eastAsia="zh-CN"/>
        </w:rPr>
        <w:t xml:space="preserve">服务</w:t>
      </w:r>
      <w:r>
        <w:rPr>
          <w:rFonts w:hint="eastAsia" w:ascii="宋体" w:hAnsi="宋体" w:eastAsia="宋体" w:cs="Times New Roman"/>
          <w:color w:val="ff0000"/>
          <w:sz w:val="24"/>
        </w:rPr>
        <w:t xml:space="preserve">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rPr>
        <w:t xml:space="preserve">排版要求</w:t>
      </w:r>
      <w:r>
        <w:rPr>
          <w:rFonts w:hint="eastAsia" w:ascii="宋体" w:hAnsi="宋体" w:cs="Times New Roman"/>
          <w:color w:val="ff0000"/>
          <w:sz w:val="24"/>
          <w:lang w:eastAsia="zh-CN"/>
        </w:rPr>
        <w:t xml:space="preserve">：</w:t>
      </w:r>
      <w:r>
        <w:rPr>
          <w:rFonts w:hint="eastAsia" w:ascii="宋体" w:hAnsi="宋体" w:eastAsia="宋体" w:cs="Times New Roman"/>
          <w:color w:val="ff0000"/>
          <w:sz w:val="24"/>
        </w:rPr>
        <w:t xml:space="preserve">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w:t>
      </w:r>
      <w:r>
        <w:rPr>
          <w:rFonts w:hint="eastAsia" w:ascii="宋体" w:hAnsi="宋体"/>
          <w:color w:val="ff0000"/>
          <w:sz w:val="24"/>
          <w:lang w:val="en-US" w:eastAsia="zh-CN"/>
        </w:rPr>
        <w:t xml:space="preserve">3</w:t>
      </w:r>
      <w:r>
        <w:rPr>
          <w:rFonts w:hint="eastAsia" w:ascii="宋体" w:hAnsi="宋体"/>
          <w:color w:val="ff0000"/>
          <w:sz w:val="24"/>
        </w:rPr>
        <w:t xml:space="preserve">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46"/>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hint="default" w:ascii="宋体" w:hAnsi="宋体" w:eastAsia="宋体"/>
          <w:color w:val="000000"/>
          <w:sz w:val="24"/>
          <w:szCs w:val="24"/>
          <w:lang w:val="en-US" w:eastAsia="zh-CN"/>
        </w:rPr>
      </w:pPr>
      <w:r/>
      <w:bookmarkStart w:id="103" w:name="_Toc14577355"/>
      <w:r/>
      <w:bookmarkStart w:id="104"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46"/>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3"/>
      <w:r/>
      <w:bookmarkStart w:id="105" w:name="_Hlt26670373"/>
      <w:r/>
      <w:bookmarkEnd w:id="105"/>
      <w:r>
        <w:rPr>
          <w:rFonts w:hint="eastAsia"/>
          <w:b w:val="0"/>
          <w:bCs w:val="0"/>
          <w:color w:val="000000"/>
        </w:rPr>
        <w:t xml:space="preserve">表</w:t>
      </w:r>
      <w:bookmarkEnd w:id="104"/>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6" w:name="_Hlt26954840"/>
      <w:r/>
      <w:bookmarkEnd w:id="106"/>
      <w:r>
        <w:rPr>
          <w:rFonts w:hint="eastAsia" w:ascii="宋体" w:hAnsi="宋体"/>
          <w:color w:val="000000"/>
          <w:sz w:val="24"/>
        </w:rPr>
        <w:t xml:space="preserve">标人按照招标文件规定格式填报投标分项报价表</w:t>
      </w:r>
      <w:bookmarkStart w:id="107" w:name="_Hlt26670399"/>
      <w:r/>
      <w:bookmarkEnd w:id="107"/>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46"/>
        <w:ind w:firstLine="420"/>
        <w:spacing w:before="0" w:after="0" w:line="400" w:lineRule="exact"/>
        <w:rPr>
          <w:rFonts w:hint="eastAsia"/>
          <w:b w:val="0"/>
          <w:bCs w:val="0"/>
          <w:color w:val="000000"/>
        </w:rPr>
      </w:pPr>
      <w:r/>
      <w:bookmarkStart w:id="108" w:name="_Hlt26670486"/>
      <w:r/>
      <w:bookmarkEnd w:id="108"/>
      <w:r/>
      <w:bookmarkStart w:id="109" w:name="_Hlt26668983"/>
      <w:r/>
      <w:bookmarkEnd w:id="109"/>
      <w:r/>
      <w:bookmarkStart w:id="110" w:name="_Hlt26670403"/>
      <w:r/>
      <w:bookmarkEnd w:id="110"/>
      <w:r/>
      <w:bookmarkStart w:id="111" w:name="_Hlt26954846"/>
      <w:r/>
      <w:bookmarkEnd w:id="111"/>
      <w:r/>
      <w:bookmarkStart w:id="112" w:name="_Hlt26670482"/>
      <w:r/>
      <w:bookmarkEnd w:id="112"/>
      <w:r/>
      <w:bookmarkStart w:id="113" w:name="_Hlt26954731"/>
      <w:r/>
      <w:bookmarkEnd w:id="113"/>
      <w:r/>
      <w:bookmarkStart w:id="114" w:name="_Hlt26954842"/>
      <w:r/>
      <w:bookmarkEnd w:id="114"/>
      <w:r/>
      <w:bookmarkStart w:id="115" w:name="_Hlt26670425"/>
      <w:r/>
      <w:bookmarkEnd w:id="115"/>
      <w:r/>
      <w:bookmarkStart w:id="116" w:name="_Hlt26954848"/>
      <w:r/>
      <w:bookmarkEnd w:id="116"/>
      <w:r/>
      <w:bookmarkStart w:id="117" w:name="_Hlt26954844"/>
      <w:r/>
      <w:bookmarkEnd w:id="117"/>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8" w:name="_Toc14577359"/>
      <w:r/>
      <w:bookmarkStart w:id="119"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46"/>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8"/>
      <w:r/>
      <w:bookmarkEnd w:id="119"/>
      <w:r/>
      <w:r/>
    </w:p>
    <w:p>
      <w:pPr>
        <w:pStyle w:val="946"/>
        <w:ind w:firstLine="420"/>
        <w:spacing w:before="0" w:after="0" w:line="400" w:lineRule="exact"/>
        <w:rPr>
          <w:rFonts w:hint="eastAsia"/>
          <w:b w:val="0"/>
          <w:bCs w:val="0"/>
          <w:color w:val="000000"/>
        </w:rPr>
      </w:pPr>
      <w:r/>
      <w:bookmarkStart w:id="120" w:name="_Hlt26670489"/>
      <w:r/>
      <w:bookmarkEnd w:id="120"/>
      <w:r/>
      <w:bookmarkStart w:id="121" w:name="_Hlt26954734"/>
      <w:r/>
      <w:bookmarkEnd w:id="121"/>
      <w:r/>
      <w:bookmarkStart w:id="122" w:name="_Hlt26954850"/>
      <w:r/>
      <w:bookmarkEnd w:id="122"/>
      <w:r/>
      <w:bookmarkStart w:id="123" w:name="_Toc14577360"/>
      <w:r/>
      <w:bookmarkStart w:id="124"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3"/>
      <w:r/>
      <w:bookmarkEnd w:id="124"/>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46"/>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45"/>
        <w:ind w:firstLine="482"/>
        <w:spacing w:before="145" w:after="145" w:line="400" w:lineRule="exact"/>
        <w:rPr>
          <w:rFonts w:hint="eastAsia"/>
          <w:color w:val="000000"/>
        </w:rPr>
      </w:pPr>
      <w:r/>
      <w:bookmarkStart w:id="125" w:name="_Hlt26954852"/>
      <w:r/>
      <w:bookmarkEnd w:id="125"/>
      <w:r/>
      <w:bookmarkStart w:id="126" w:name="_Hlt26954739"/>
      <w:r/>
      <w:bookmarkEnd w:id="126"/>
      <w:r/>
      <w:bookmarkStart w:id="127" w:name="_Toc16938540"/>
      <w:r/>
      <w:bookmarkStart w:id="128" w:name="_Toc120614217"/>
      <w:r/>
      <w:bookmarkStart w:id="129" w:name="_Toc513029224"/>
      <w:r/>
      <w:bookmarkStart w:id="130" w:name="_Toc20823296"/>
      <w:r>
        <w:rPr>
          <w:rFonts w:hint="eastAsia"/>
          <w:color w:val="000000"/>
        </w:rPr>
        <w:t xml:space="preserve">四、投标文件的递交</w:t>
      </w:r>
      <w:bookmarkEnd w:id="127"/>
      <w:r/>
      <w:bookmarkEnd w:id="128"/>
      <w:r/>
      <w:bookmarkEnd w:id="129"/>
      <w:r/>
      <w:bookmarkEnd w:id="130"/>
      <w:r/>
      <w:r/>
    </w:p>
    <w:p>
      <w:pPr>
        <w:pStyle w:val="946"/>
        <w:ind w:firstLine="560"/>
        <w:spacing w:before="0" w:after="0" w:line="400" w:lineRule="exact"/>
        <w:rPr>
          <w:rFonts w:hint="eastAsia" w:ascii="黑体"/>
          <w:b w:val="0"/>
          <w:bCs w:val="0"/>
          <w:color w:val="000000"/>
        </w:rPr>
      </w:pPr>
      <w:r/>
      <w:bookmarkStart w:id="131" w:name="_Toc16938541"/>
      <w:r/>
      <w:bookmarkStart w:id="132" w:name="_Toc20823297"/>
      <w:r/>
      <w:bookmarkStart w:id="133" w:name="_Toc513029225"/>
      <w:r/>
      <w:bookmarkStart w:id="134" w:name="_Toc462564084"/>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31"/>
      <w:r/>
      <w:bookmarkEnd w:id="132"/>
      <w:r/>
      <w:bookmarkEnd w:id="133"/>
      <w:r/>
      <w:bookmarkEnd w:id="134"/>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5" w:name="_Toc16938542"/>
      <w:r/>
      <w:bookmarkStart w:id="136" w:name="_Toc20823298"/>
      <w:r/>
      <w:bookmarkStart w:id="137" w:name="_Toc513029226"/>
      <w:r/>
      <w:r/>
    </w:p>
    <w:p>
      <w:pPr>
        <w:pStyle w:val="946"/>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5"/>
      <w:r/>
      <w:bookmarkEnd w:id="136"/>
      <w:r/>
      <w:bookmarkEnd w:id="137"/>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46"/>
        <w:ind w:firstLine="420"/>
        <w:spacing w:before="0" w:after="0" w:line="400" w:lineRule="exact"/>
        <w:rPr>
          <w:rFonts w:hint="eastAsia"/>
          <w:b w:val="0"/>
          <w:bCs w:val="0"/>
          <w:color w:val="000000"/>
        </w:rPr>
      </w:pPr>
      <w:r/>
      <w:bookmarkStart w:id="138" w:name="_Toc513029227"/>
      <w:r/>
      <w:bookmarkStart w:id="139" w:name="_Toc16938543"/>
      <w:r/>
      <w:bookmarkStart w:id="140"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8"/>
      <w:r/>
      <w:bookmarkEnd w:id="139"/>
      <w:r/>
      <w:bookmarkEnd w:id="140"/>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46"/>
        <w:ind w:firstLine="420"/>
        <w:spacing w:before="0" w:after="0" w:line="400" w:lineRule="exact"/>
        <w:rPr>
          <w:rFonts w:hint="eastAsia"/>
          <w:b w:val="0"/>
          <w:bCs w:val="0"/>
          <w:color w:val="000000"/>
        </w:rPr>
      </w:pPr>
      <w:r/>
      <w:bookmarkStart w:id="141" w:name="_Toc513029228"/>
      <w:r/>
      <w:bookmarkStart w:id="142" w:name="_Toc20823300"/>
      <w:r/>
      <w:bookmarkStart w:id="143" w:name="_Toc16938544"/>
      <w:r>
        <w:rPr>
          <w:b w:val="0"/>
          <w:bCs w:val="0"/>
          <w:color w:val="000000"/>
        </w:rPr>
        <w:t xml:space="preserve">19</w:t>
      </w:r>
      <w:r>
        <w:rPr>
          <w:rFonts w:hint="eastAsia"/>
          <w:b w:val="0"/>
          <w:bCs w:val="0"/>
          <w:color w:val="000000"/>
        </w:rPr>
        <w:t xml:space="preserve">、投标文件的撤回和修改</w:t>
      </w:r>
      <w:bookmarkEnd w:id="141"/>
      <w:r/>
      <w:bookmarkEnd w:id="142"/>
      <w:r/>
      <w:bookmarkEnd w:id="143"/>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45"/>
        <w:ind w:firstLine="482"/>
        <w:spacing w:before="145" w:after="145" w:line="400" w:lineRule="exact"/>
        <w:rPr>
          <w:rFonts w:hint="eastAsia"/>
          <w:color w:val="000000"/>
        </w:rPr>
      </w:pPr>
      <w:r/>
      <w:bookmarkStart w:id="144" w:name="_Toc16938545"/>
      <w:r/>
      <w:bookmarkStart w:id="145" w:name="_Toc513029229"/>
      <w:r/>
      <w:bookmarkStart w:id="146" w:name="_Toc20823301"/>
      <w:r/>
      <w:bookmarkStart w:id="147" w:name="_Toc120614218"/>
      <w:r>
        <w:rPr>
          <w:rFonts w:hint="eastAsia"/>
          <w:color w:val="000000"/>
        </w:rPr>
        <w:t xml:space="preserve">五、开标与评标</w:t>
      </w:r>
      <w:bookmarkEnd w:id="144"/>
      <w:r/>
      <w:bookmarkEnd w:id="145"/>
      <w:r/>
      <w:bookmarkEnd w:id="146"/>
      <w:r/>
      <w:bookmarkEnd w:id="147"/>
      <w:r/>
      <w:r/>
    </w:p>
    <w:p>
      <w:pPr>
        <w:pStyle w:val="946"/>
        <w:ind w:firstLine="420"/>
        <w:spacing w:before="0" w:after="0" w:line="400" w:lineRule="exact"/>
        <w:rPr>
          <w:rFonts w:hint="eastAsia"/>
          <w:b w:val="0"/>
          <w:bCs w:val="0"/>
          <w:color w:val="000000"/>
        </w:rPr>
      </w:pPr>
      <w:r/>
      <w:bookmarkStart w:id="148" w:name="_Toc16938546"/>
      <w:r/>
      <w:bookmarkStart w:id="149" w:name="_Toc20823302"/>
      <w:r/>
      <w:bookmarkStart w:id="150"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8"/>
      <w:r/>
      <w:bookmarkEnd w:id="149"/>
      <w:r/>
      <w:bookmarkEnd w:id="150"/>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46"/>
        <w:ind w:firstLine="420"/>
        <w:spacing w:before="0" w:after="0" w:line="400" w:lineRule="exact"/>
        <w:rPr>
          <w:rFonts w:hint="eastAsia"/>
          <w:b w:val="0"/>
          <w:bCs w:val="0"/>
          <w:color w:val="000000"/>
        </w:rPr>
      </w:pPr>
      <w:r/>
      <w:bookmarkStart w:id="151" w:name="_Toc513029231"/>
      <w:r/>
      <w:bookmarkStart w:id="152" w:name="_Toc16938547"/>
      <w:r/>
      <w:bookmarkStart w:id="153"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46"/>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51"/>
      <w:r/>
      <w:bookmarkEnd w:id="152"/>
      <w:r/>
      <w:bookmarkEnd w:id="153"/>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46"/>
        <w:ind w:firstLine="420"/>
        <w:spacing w:before="0" w:after="0" w:line="400" w:lineRule="exact"/>
        <w:rPr>
          <w:rFonts w:hint="eastAsia"/>
          <w:b w:val="0"/>
          <w:bCs w:val="0"/>
          <w:color w:val="000000"/>
        </w:rPr>
      </w:pPr>
      <w:r/>
      <w:bookmarkStart w:id="154" w:name="_Toc16938548"/>
      <w:r/>
      <w:bookmarkStart w:id="155" w:name="_Toc20823304"/>
      <w:r/>
      <w:bookmarkStart w:id="156"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4"/>
      <w:r/>
      <w:bookmarkEnd w:id="155"/>
      <w:r/>
      <w:bookmarkEnd w:id="156"/>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23.3 接到评委会澄清、说明和补正要求的投标人如未按规定做出澄清、说明和补正，其风险由投标人自行承担。</w:t>
      </w:r>
      <w:r/>
    </w:p>
    <w:p>
      <w:pPr>
        <w:ind w:firstLine="480"/>
        <w:spacing w:line="400" w:lineRule="exact"/>
        <w:rPr>
          <w:rFonts w:hint="eastAsia"/>
        </w:rPr>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3</w:t>
      </w:r>
      <w:r>
        <w:rPr>
          <w:rFonts w:hint="eastAsia" w:ascii="宋体" w:hAnsi="宋体" w:eastAsia="宋体" w:cs="Times New Roman"/>
          <w:color w:val="ff0000"/>
          <w:sz w:val="24"/>
        </w:rPr>
        <w:t xml:space="preserve">.4 请投标人实时关注评标过程，因此项目设置暗标，“澄清要求函”无法通过系统以外途径通知投标单位，请投标人密切关注评标过程，按时回复，因投标人未尽注意义务，而造成的损失及风险（包括但不限于未中标）由投标人自行承担。</w:t>
      </w:r>
      <w:r/>
    </w:p>
    <w:p>
      <w:pPr>
        <w:pStyle w:val="946"/>
        <w:ind w:firstLine="420"/>
        <w:spacing w:before="0" w:after="0" w:line="400" w:lineRule="exact"/>
        <w:rPr>
          <w:rFonts w:hint="eastAsia"/>
          <w:b w:val="0"/>
          <w:bCs w:val="0"/>
          <w:color w:val="000000"/>
        </w:rPr>
      </w:pPr>
      <w:r/>
      <w:bookmarkStart w:id="157" w:name="_Toc20823305"/>
      <w:r/>
      <w:bookmarkStart w:id="158" w:name="_Toc513029233"/>
      <w:r/>
      <w:bookmarkStart w:id="159"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7"/>
      <w:r/>
      <w:bookmarkEnd w:id="158"/>
      <w:r/>
      <w:bookmarkEnd w:id="159"/>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60" w:name="_Toc16938550"/>
      <w:r/>
      <w:bookmarkStart w:id="161" w:name="_Toc20823306"/>
      <w:r/>
      <w:bookmarkStart w:id="162"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46"/>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60"/>
      <w:r/>
      <w:bookmarkEnd w:id="161"/>
      <w:r/>
      <w:bookmarkEnd w:id="162"/>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3" w:name="_Toc16938551"/>
      <w:r/>
      <w:bookmarkStart w:id="164" w:name="_Toc20823307"/>
      <w:r/>
      <w:bookmarkStart w:id="165" w:name="_Toc513029235"/>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25.1.10.3投标（响应）报价低于采购项目最高限价 45% 的，即投标（响应）报价&lt;采购项目最高限价×45% ；</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25.1.10.4评审委员会认定的供应商报价过低、有可能影响产品质量或者不能诚信履约的其他情形。</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25.1.10.5评审委员会启动异常低价投标（响应）审查后，属于前述第1项至第4项情形的，应当要求相关供应商在评审现场合理的时间内</w:t>
      </w:r>
      <w:r>
        <w:rPr>
          <w:rFonts w:hint="eastAsia" w:ascii="宋体" w:hAnsi="宋体"/>
          <w:b/>
          <w:bCs w:val="0"/>
          <w:color w:val="ff0000"/>
          <w:sz w:val="24"/>
        </w:rPr>
        <w:t xml:space="preserve">对投标（响应）价格作出解释，提供项目具体成本测算等与报价合理性相关的书面说明及必要的证明材料，包括但不限于原材料成本、人工成本、制造费用等，</w:t>
      </w:r>
      <w:r>
        <w:rPr>
          <w:rFonts w:hint="eastAsia" w:ascii="宋体" w:hAnsi="宋体"/>
          <w:bCs/>
          <w:color w:val="ff0000"/>
          <w:sz w:val="24"/>
        </w:rPr>
        <w:t xml:space="preserve">给予相关供应商的合理时间一般</w:t>
      </w:r>
      <w:r>
        <w:rPr>
          <w:rFonts w:hint="eastAsia" w:ascii="宋体" w:hAnsi="宋体"/>
          <w:b/>
          <w:bCs w:val="0"/>
          <w:color w:val="ff0000"/>
          <w:sz w:val="24"/>
        </w:rPr>
        <w:t xml:space="preserve">不少于30分钟。</w:t>
      </w:r>
      <w:r>
        <w:rPr>
          <w:rFonts w:hint="eastAsia" w:ascii="宋体" w:hAnsi="宋体"/>
          <w:bCs/>
          <w:color w:val="ff0000"/>
          <w:sz w:val="24"/>
        </w:rPr>
        <w:t xml:space="preserve">其中，属于第</w:t>
      </w:r>
      <w:r>
        <w:rPr>
          <w:rFonts w:hint="eastAsia" w:ascii="宋体" w:hAnsi="宋体"/>
          <w:bCs/>
          <w:color w:val="ff0000"/>
          <w:sz w:val="24"/>
          <w:szCs w:val="21"/>
          <w:highlight w:val="none"/>
          <w:lang w:val="en-US" w:eastAsia="zh-CN"/>
        </w:rPr>
        <w:t xml:space="preserve">3</w:t>
      </w:r>
      <w:r>
        <w:rPr>
          <w:rFonts w:hint="eastAsia" w:ascii="宋体" w:hAnsi="宋体"/>
          <w:bCs/>
          <w:color w:val="ff0000"/>
          <w:sz w:val="24"/>
        </w:rPr>
        <w:t xml:space="preserve">项情形，供应商已随投标（响应）文件一并提交相关书面说明及必要的证明材料的，在评审现场可不再重复提交。</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bCs/>
          <w:color w:val="000000"/>
          <w:sz w:val="24"/>
          <w:highlight w:val="green"/>
        </w:rPr>
      </w:pPr>
      <w:r>
        <w:rPr>
          <w:rFonts w:hint="eastAsia" w:ascii="宋体" w:hAnsi="宋体"/>
          <w:b/>
          <w:bCs w:val="0"/>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keepLines w:val="0"/>
        <w:keepNext w:val="0"/>
        <w:pageBreakBefore w:val="0"/>
        <w:spacing w:line="260" w:lineRule="atLeast"/>
        <w:widowControl w:val="off"/>
        <w:rPr>
          <w:rFonts w:hint="eastAsia" w:ascii="宋体" w:hAnsi="宋体" w:eastAsia="宋体" w:cs="Times New Roman"/>
          <w:color w:val="ff0000"/>
          <w:sz w:val="24"/>
          <w:lang w:eastAsia="zh-CN"/>
        </w:rPr>
        <w:outlineLvl w:val="9"/>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5</w:t>
      </w:r>
      <w:r>
        <w:rPr>
          <w:rFonts w:hint="eastAsia" w:ascii="宋体" w:hAnsi="宋体" w:eastAsia="宋体" w:cs="Times New Roman"/>
          <w:color w:val="ff0000"/>
          <w:sz w:val="24"/>
        </w:rPr>
        <w:t xml:space="preserve">.1.12 技术标（暗标）中出现该报价供应商单位名称、简称、人员姓名、Logo、商标、电话号码等任何标识标记及其他暗示性标志的</w:t>
      </w:r>
      <w:r>
        <w:rPr>
          <w:rFonts w:hint="eastAsia" w:ascii="宋体" w:hAnsi="宋体" w:cs="Times New Roman"/>
          <w:color w:val="ff0000"/>
          <w:sz w:val="24"/>
          <w:lang w:eastAsia="zh-CN"/>
        </w:rPr>
        <w:t xml:space="preserve">。</w:t>
      </w:r>
      <w:r/>
    </w:p>
    <w:p>
      <w:pPr>
        <w:ind w:firstLine="480"/>
        <w:keepLines w:val="0"/>
        <w:keepNext w:val="0"/>
        <w:pageBreakBefore w:val="0"/>
        <w:spacing w:line="260" w:lineRule="atLeast"/>
        <w:widowControl w:val="off"/>
        <w:rPr>
          <w:rFonts w:hint="eastAsia"/>
        </w:rPr>
        <w:outlineLvl w:val="9"/>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5</w:t>
      </w:r>
      <w:r>
        <w:rPr>
          <w:rFonts w:hint="eastAsia" w:ascii="宋体" w:hAnsi="宋体" w:eastAsia="宋体" w:cs="Times New Roman"/>
          <w:color w:val="ff0000"/>
          <w:sz w:val="24"/>
        </w:rPr>
        <w:t xml:space="preserve">.1.13 暗标未按“排版要求”编制</w:t>
      </w:r>
      <w:r>
        <w:rPr>
          <w:rFonts w:hint="eastAsia" w:ascii="宋体" w:hAnsi="宋体" w:cs="Times New Roman"/>
          <w:color w:val="ff0000"/>
          <w:sz w:val="24"/>
          <w:lang w:eastAsia="zh-C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w:t>
      </w:r>
      <w:r>
        <w:rPr>
          <w:rFonts w:hint="eastAsia" w:ascii="宋体" w:hAnsi="宋体"/>
          <w:bCs/>
          <w:color w:val="000000"/>
          <w:sz w:val="24"/>
          <w:lang w:val="en-US" w:eastAsia="zh-CN"/>
        </w:rPr>
        <w:t xml:space="preserve">4</w:t>
      </w:r>
      <w:r>
        <w:rPr>
          <w:rFonts w:hint="eastAsia" w:ascii="宋体" w:hAnsi="宋体"/>
          <w:bCs/>
          <w:color w:val="000000"/>
          <w:sz w:val="24"/>
        </w:rPr>
        <w:t xml:space="preserve">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45"/>
        <w:ind w:firstLine="482"/>
        <w:spacing w:before="145" w:after="145" w:line="400" w:lineRule="exact"/>
        <w:rPr>
          <w:rFonts w:hint="eastAsia"/>
          <w:color w:val="000000"/>
        </w:rPr>
      </w:pPr>
      <w:r/>
      <w:bookmarkStart w:id="166" w:name="_Toc120614219"/>
      <w:r>
        <w:rPr>
          <w:rFonts w:hint="eastAsia"/>
          <w:color w:val="000000"/>
        </w:rPr>
        <w:t xml:space="preserve">六、</w:t>
      </w:r>
      <w:bookmarkEnd w:id="163"/>
      <w:r/>
      <w:bookmarkEnd w:id="164"/>
      <w:r/>
      <w:bookmarkEnd w:id="165"/>
      <w:r>
        <w:rPr>
          <w:rFonts w:hint="eastAsia"/>
          <w:color w:val="000000"/>
        </w:rPr>
        <w:t xml:space="preserve">定标</w:t>
      </w:r>
      <w:bookmarkEnd w:id="166"/>
      <w:r/>
      <w:r/>
    </w:p>
    <w:p>
      <w:pPr>
        <w:pStyle w:val="946"/>
        <w:ind w:firstLine="600"/>
        <w:spacing w:before="0" w:after="0" w:line="400" w:lineRule="exact"/>
        <w:rPr>
          <w:rFonts w:hint="eastAsia" w:ascii="黑体" w:hAnsi="宋体" w:cs="Times New Roman"/>
          <w:b w:val="0"/>
          <w:color w:val="000000"/>
          <w:sz w:val="30"/>
          <w:szCs w:val="30"/>
        </w:rPr>
      </w:pPr>
      <w:r/>
      <w:bookmarkStart w:id="167" w:name="_Toc513029238"/>
      <w:r/>
      <w:bookmarkStart w:id="168" w:name="_Toc16938554"/>
      <w:r/>
      <w:bookmarkStart w:id="169"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7"/>
      <w:r>
        <w:rPr>
          <w:rFonts w:hint="eastAsia" w:ascii="黑体" w:hAnsi="宋体" w:cs="Times New Roman"/>
          <w:b w:val="0"/>
          <w:color w:val="000000"/>
          <w:sz w:val="30"/>
          <w:szCs w:val="30"/>
        </w:rPr>
        <w:t xml:space="preserve">确定</w:t>
      </w:r>
      <w:bookmarkEnd w:id="168"/>
      <w:r/>
      <w:bookmarkEnd w:id="169"/>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70"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46"/>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7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eastAsia="宋体"/>
          <w:b/>
          <w:sz w:val="24"/>
          <w:szCs w:val="24"/>
          <w:highlight w:val="yellow"/>
          <w:lang w:eastAsia="zh-CN"/>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hint="eastAsia" w:ascii="宋体" w:hAnsi="宋体"/>
          <w:color w:val="000000"/>
          <w:sz w:val="24"/>
          <w:szCs w:val="24"/>
          <w:lang w:eastAsia="zh-CN"/>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46"/>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45"/>
        <w:spacing w:before="145" w:after="145" w:line="400" w:lineRule="exact"/>
        <w:rPr>
          <w:rFonts w:hint="eastAsia"/>
          <w:color w:val="000000"/>
        </w:rPr>
      </w:pPr>
      <w:r/>
      <w:bookmarkStart w:id="171" w:name="_Toc120614220"/>
      <w:r/>
      <w:bookmarkStart w:id="172" w:name="_Toc513029236"/>
      <w:r/>
      <w:bookmarkStart w:id="173" w:name="_Toc20823308"/>
      <w:r/>
      <w:bookmarkStart w:id="174" w:name="_Toc16938552"/>
      <w:r>
        <w:rPr>
          <w:rFonts w:hint="eastAsia"/>
          <w:color w:val="000000"/>
        </w:rPr>
        <w:t xml:space="preserve">七、授予合同</w:t>
      </w:r>
      <w:bookmarkEnd w:id="171"/>
      <w:r/>
      <w:bookmarkEnd w:id="172"/>
      <w:r/>
      <w:bookmarkEnd w:id="173"/>
      <w:r/>
      <w:bookmarkEnd w:id="174"/>
      <w:r/>
      <w:r/>
    </w:p>
    <w:p>
      <w:pPr>
        <w:pStyle w:val="946"/>
        <w:ind w:firstLine="600"/>
        <w:pageBreakBefore w:val="0"/>
        <w:spacing w:before="0" w:after="0" w:line="400" w:lineRule="exact"/>
        <w:widowControl w:val="off"/>
        <w:rPr>
          <w:rFonts w:hint="eastAsia" w:ascii="黑体" w:hAnsi="宋体" w:cs="Times New Roman"/>
          <w:b w:val="0"/>
          <w:color w:val="000000"/>
          <w:sz w:val="30"/>
          <w:szCs w:val="30"/>
        </w:rPr>
      </w:pPr>
      <w:r/>
      <w:bookmarkStart w:id="175" w:name="_Toc20823309"/>
      <w:r/>
      <w:bookmarkStart w:id="176" w:name="_Toc513029237"/>
      <w:r/>
      <w:bookmarkStart w:id="177"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pageBreakBefore w:val="0"/>
        <w:spacing w:line="400" w:lineRule="exact"/>
        <w:widowControl w:val="off"/>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5"/>
      <w:r/>
      <w:bookmarkEnd w:id="176"/>
      <w:r/>
      <w:bookmarkEnd w:id="177"/>
      <w:r/>
      <w:r/>
    </w:p>
    <w:p>
      <w:pPr>
        <w:pStyle w:val="946"/>
        <w:ind w:firstLine="600"/>
        <w:pageBreakBefore w:val="0"/>
        <w:spacing w:before="0" w:after="0" w:line="400" w:lineRule="exact"/>
        <w:widowControl w:val="off"/>
        <w:rPr>
          <w:rFonts w:ascii="黑体" w:hAnsi="宋体" w:cs="Times New Roman"/>
          <w:b w:val="0"/>
          <w:color w:val="000000"/>
          <w:sz w:val="30"/>
          <w:szCs w:val="30"/>
        </w:rPr>
      </w:pPr>
      <w:r/>
      <w:bookmarkStart w:id="178" w:name="_Toc479757207"/>
      <w:r/>
      <w:bookmarkStart w:id="179" w:name="_Toc120614221"/>
      <w:r/>
      <w:bookmarkStart w:id="180" w:name="_Toc16938558"/>
      <w:r/>
      <w:bookmarkStart w:id="181" w:name="_Toc513029242"/>
      <w:r/>
      <w:bookmarkStart w:id="182" w:name="_Toc20823314"/>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44"/>
        <w:pageBreakBefore w:val="0"/>
        <w:spacing w:line="400" w:lineRule="exact"/>
        <w:widowControl w:val="off"/>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44"/>
        <w:pageBreakBefore w:val="0"/>
        <w:spacing w:line="400" w:lineRule="exact"/>
        <w:widowControl w:val="off"/>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lang w:val="en-US" w:eastAsia="zh-CN"/>
        </w:rPr>
      </w:pPr>
      <w:r>
        <w:rPr>
          <w:rFonts w:hint="eastAsia"/>
          <w:color w:val="000000"/>
          <w:lang w:val="en-US" w:eastAsia="zh-CN"/>
        </w:rPr>
        <w:t xml:space="preserve">6</w:t>
      </w:r>
      <w:r/>
    </w:p>
    <w:p>
      <w:pPr>
        <w:rPr>
          <w:rFonts w:hint="eastAsia"/>
          <w:color w:val="000000"/>
        </w:rPr>
      </w:pPr>
      <w:r>
        <w:rPr>
          <w:rFonts w:hint="eastAsia"/>
          <w:color w:val="000000"/>
        </w:rPr>
      </w:r>
      <w:r/>
    </w:p>
    <w:p>
      <w:pPr>
        <w:pStyle w:val="942"/>
        <w:jc w:val="center"/>
        <w:rPr>
          <w:rFonts w:hint="eastAsia" w:ascii="黑体" w:eastAsia="黑体"/>
          <w:bCs/>
          <w:color w:val="000000"/>
          <w:sz w:val="44"/>
        </w:rPr>
      </w:pPr>
      <w:r>
        <w:rPr>
          <w:rFonts w:hint="eastAsia" w:ascii="黑体" w:eastAsia="黑体"/>
          <w:bCs/>
          <w:color w:val="000000"/>
          <w:sz w:val="44"/>
        </w:rPr>
        <w:t xml:space="preserve">第三章  合同</w:t>
      </w:r>
      <w:bookmarkEnd w:id="178"/>
      <w:r/>
      <w:bookmarkEnd w:id="179"/>
      <w:r/>
      <w:bookmarkEnd w:id="180"/>
      <w:r/>
      <w:bookmarkEnd w:id="181"/>
      <w:r/>
      <w:bookmarkEnd w:id="182"/>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3" w:name="_Toc16938559"/>
      <w:r/>
      <w:bookmarkStart w:id="184" w:name="_Toc20823315"/>
      <w:r/>
      <w:bookmarkStart w:id="185" w:name="_Toc513029243"/>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82"/>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82"/>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82"/>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82"/>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82"/>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82"/>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82"/>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982"/>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982"/>
        <w:spacing w:before="120" w:after="120"/>
        <w:rPr>
          <w:rFonts w:hAnsi="宋体"/>
          <w:color w:val="000000"/>
          <w:sz w:val="24"/>
          <w:szCs w:val="24"/>
        </w:rPr>
      </w:pPr>
      <w:r>
        <w:rPr>
          <w:rFonts w:hint="eastAsia" w:hAnsi="宋体"/>
          <w:color w:val="000000"/>
          <w:sz w:val="24"/>
          <w:szCs w:val="24"/>
        </w:rPr>
        <w:t xml:space="preserve">1.5 履行地点：</w:t>
      </w:r>
      <w:r/>
    </w:p>
    <w:p>
      <w:pPr>
        <w:pStyle w:val="98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82"/>
        <w:spacing w:before="120" w:after="120"/>
        <w:rPr>
          <w:rFonts w:hAnsi="宋体"/>
          <w:b/>
          <w:color w:val="000000"/>
          <w:sz w:val="24"/>
          <w:szCs w:val="24"/>
        </w:rPr>
      </w:pPr>
      <w:r>
        <w:rPr>
          <w:rFonts w:hAnsi="宋体"/>
          <w:b/>
          <w:color w:val="000000"/>
          <w:sz w:val="24"/>
          <w:szCs w:val="24"/>
        </w:rPr>
        <w:t xml:space="preserve">二、合同金额</w:t>
      </w:r>
      <w:r/>
    </w:p>
    <w:p>
      <w:pPr>
        <w:pStyle w:val="982"/>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82"/>
        <w:spacing w:before="120" w:after="120"/>
        <w:rPr>
          <w:rFonts w:hAnsi="宋体"/>
          <w:b/>
          <w:color w:val="000000"/>
          <w:sz w:val="24"/>
          <w:szCs w:val="24"/>
        </w:rPr>
      </w:pPr>
      <w:r>
        <w:rPr>
          <w:rFonts w:hAnsi="宋体"/>
          <w:b/>
          <w:color w:val="000000"/>
          <w:sz w:val="24"/>
          <w:szCs w:val="24"/>
        </w:rPr>
        <w:t xml:space="preserve">三、技术资料</w:t>
      </w:r>
      <w:r/>
    </w:p>
    <w:p>
      <w:pPr>
        <w:pStyle w:val="982"/>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82"/>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2"/>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82"/>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82"/>
        <w:spacing w:before="120" w:after="120"/>
        <w:rPr>
          <w:rFonts w:hAnsi="宋体"/>
          <w:color w:val="000000"/>
          <w:sz w:val="24"/>
          <w:szCs w:val="24"/>
          <w:u w:val="single"/>
        </w:rPr>
      </w:pPr>
      <w:r>
        <w:rPr>
          <w:rFonts w:hAnsi="宋体"/>
          <w:b/>
          <w:color w:val="000000"/>
          <w:sz w:val="24"/>
          <w:szCs w:val="24"/>
        </w:rPr>
        <w:t xml:space="preserve">五、产权担保</w:t>
      </w:r>
      <w:r/>
    </w:p>
    <w:p>
      <w:pPr>
        <w:pStyle w:val="982"/>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82"/>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982"/>
        <w:ind w:left="408" w:hanging="408"/>
        <w:spacing w:before="120" w:after="120"/>
        <w:rPr>
          <w:rFonts w:hint="eastAsia" w:hAnsi="宋体"/>
          <w:color w:val="000000"/>
          <w:sz w:val="24"/>
          <w:szCs w:val="24"/>
        </w:rPr>
      </w:pPr>
      <w:r>
        <w:rPr>
          <w:rFonts w:hAnsi="宋体"/>
          <w:color w:val="000000"/>
          <w:sz w:val="24"/>
          <w:szCs w:val="24"/>
        </w:rPr>
        <w:t xml:space="preserve">6.1 乙方交纳人民币</w:t>
      </w:r>
      <w:r>
        <w:rPr>
          <w:rFonts w:hint="eastAsia" w:hAnsi="宋体"/>
          <w:color w:val="000000"/>
          <w:sz w:val="24"/>
          <w:szCs w:val="24"/>
          <w:u w:val="single"/>
          <w:lang w:val="en-US" w:eastAsia="zh-CN"/>
        </w:rPr>
        <w:t xml:space="preserve">   </w:t>
      </w:r>
      <w:r>
        <w:rPr>
          <w:rFonts w:hint="eastAsia" w:hAnsi="宋体"/>
          <w:color w:val="000000"/>
          <w:sz w:val="24"/>
          <w:szCs w:val="24"/>
          <w:u w:val="single"/>
          <w:lang w:eastAsia="zh-CN"/>
        </w:rPr>
        <w:t xml:space="preserve">零</w:t>
      </w:r>
      <w:r>
        <w:rPr>
          <w:rFonts w:hint="eastAsia" w:hAnsi="宋体"/>
          <w:color w:val="000000"/>
          <w:sz w:val="24"/>
          <w:szCs w:val="24"/>
          <w:u w:val="single"/>
          <w:lang w:val="en-US" w:eastAsia="zh-CN"/>
        </w:rPr>
        <w:t xml:space="preserve">   </w:t>
      </w:r>
      <w:r>
        <w:rPr>
          <w:rFonts w:hAnsi="宋体"/>
          <w:color w:val="000000"/>
          <w:sz w:val="24"/>
          <w:szCs w:val="24"/>
        </w:rPr>
        <w:t xml:space="preserve">元作为本合同的履约保证金。</w:t>
      </w:r>
      <w:r>
        <w:rPr>
          <w:rFonts w:hint="eastAsia" w:hAnsi="宋体"/>
          <w:color w:val="000000"/>
          <w:sz w:val="24"/>
          <w:szCs w:val="24"/>
        </w:rPr>
        <w:t xml:space="preserve">（不得超过合同金额的10%）</w:t>
      </w:r>
      <w:r/>
    </w:p>
    <w:p>
      <w:pPr>
        <w:pStyle w:val="982"/>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82"/>
        <w:ind w:left="408" w:hanging="408"/>
        <w:spacing w:before="120" w:after="120"/>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auto"/>
          <w:sz w:val="24"/>
          <w:szCs w:val="24"/>
          <w:lang w:val="en-US" w:eastAsia="zh-CN"/>
        </w:rPr>
        <w:t xml:space="preserve">无</w:t>
      </w:r>
      <w:r/>
    </w:p>
    <w:p>
      <w:pPr>
        <w:pStyle w:val="982"/>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auto"/>
          <w:sz w:val="24"/>
          <w:szCs w:val="24"/>
          <w:lang w:val="en-US" w:eastAsia="zh-CN"/>
        </w:rPr>
        <w:t xml:space="preserve">无</w:t>
      </w:r>
      <w:r/>
    </w:p>
    <w:p>
      <w:pPr>
        <w:pStyle w:val="982"/>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auto"/>
          <w:sz w:val="24"/>
          <w:szCs w:val="24"/>
          <w:lang w:val="en-US" w:eastAsia="zh-CN"/>
        </w:rPr>
        <w:t xml:space="preserve">无</w:t>
      </w:r>
      <w:r/>
    </w:p>
    <w:p>
      <w:pPr>
        <w:pStyle w:val="982"/>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auto"/>
          <w:sz w:val="24"/>
          <w:szCs w:val="24"/>
          <w:lang w:val="en-US" w:eastAsia="zh-CN"/>
        </w:rPr>
        <w:t xml:space="preserve">无</w:t>
      </w:r>
      <w:r/>
    </w:p>
    <w:p>
      <w:pPr>
        <w:pStyle w:val="982"/>
        <w:ind w:left="408" w:hanging="408"/>
        <w:spacing w:before="120" w:after="120"/>
        <w:rPr>
          <w:rFonts w:hint="default" w:hAnsi="宋体"/>
          <w:color w:val="0000ff"/>
          <w:sz w:val="24"/>
          <w:szCs w:val="24"/>
          <w:lang w:val="en-US" w:eastAsia="zh-CN"/>
        </w:rPr>
      </w:pPr>
      <w:r>
        <w:rPr>
          <w:rFonts w:hint="eastAsia" w:hAnsi="宋体"/>
          <w:color w:val="auto"/>
          <w:sz w:val="24"/>
          <w:szCs w:val="24"/>
          <w:lang w:val="en-US" w:eastAsia="zh-CN"/>
        </w:rPr>
        <w:t xml:space="preserve">6.2.5履约保证金逾期退还的违约责任：无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82"/>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982"/>
        <w:spacing w:before="120" w:after="120"/>
        <w:rPr>
          <w:rFonts w:hint="eastAsia" w:hAnsi="宋体"/>
          <w:sz w:val="24"/>
          <w:szCs w:val="24"/>
          <w:highlight w:val="none"/>
          <w:u w:val="single"/>
        </w:rPr>
      </w:pPr>
      <w:r>
        <w:rPr>
          <w:rFonts w:hint="eastAsia" w:hAnsi="宋体"/>
          <w:sz w:val="24"/>
          <w:szCs w:val="24"/>
          <w:highlight w:val="none"/>
          <w:u w:val="single"/>
        </w:rPr>
        <w:t xml:space="preserve">8.1.1 预付款支付时间：</w:t>
      </w:r>
      <w:r>
        <w:rPr>
          <w:rFonts w:hint="eastAsia" w:hAnsi="宋体"/>
          <w:sz w:val="24"/>
          <w:szCs w:val="24"/>
          <w:highlight w:val="none"/>
          <w:u w:val="single"/>
          <w:lang w:val="en-US" w:eastAsia="zh-CN"/>
        </w:rPr>
        <w:t xml:space="preserve">合同签订后，乙方向甲方开具正式发票，甲方自收到发票之日（乙方开票日期）起10个工作日内支付合同总价30%的预付款</w:t>
      </w:r>
      <w:r>
        <w:rPr>
          <w:rFonts w:hint="eastAsia" w:hAnsi="宋体"/>
          <w:sz w:val="24"/>
          <w:szCs w:val="24"/>
          <w:highlight w:val="none"/>
          <w:u w:val="single"/>
        </w:rPr>
        <w:t xml:space="preserve">。</w:t>
      </w:r>
      <w:r/>
    </w:p>
    <w:p>
      <w:pPr>
        <w:pStyle w:val="982"/>
        <w:spacing w:before="120" w:after="120"/>
        <w:rPr>
          <w:rFonts w:hint="eastAsia" w:hAnsi="宋体"/>
          <w:sz w:val="24"/>
          <w:szCs w:val="24"/>
          <w:highlight w:val="none"/>
          <w:u w:val="single"/>
        </w:rPr>
      </w:pPr>
      <w:r>
        <w:rPr>
          <w:rFonts w:hint="eastAsia" w:hAnsi="宋体"/>
          <w:sz w:val="24"/>
          <w:szCs w:val="24"/>
          <w:highlight w:val="none"/>
          <w:u w:val="single"/>
        </w:rPr>
        <w:t xml:space="preserve">8.1.2 尾款支付时间：</w:t>
      </w:r>
      <w:r>
        <w:rPr>
          <w:rFonts w:hint="eastAsia" w:hAnsi="宋体"/>
          <w:sz w:val="24"/>
          <w:szCs w:val="24"/>
          <w:highlight w:val="none"/>
          <w:u w:val="single"/>
          <w:lang w:val="en-US" w:eastAsia="zh-CN"/>
        </w:rPr>
        <w:t xml:space="preserve">项目验收合格后，乙方向甲方开具正式发票，甲方自收到发票之日（乙方开票日期）起10个工作日内支付尾款</w:t>
      </w:r>
      <w:r>
        <w:rPr>
          <w:rFonts w:hint="eastAsia" w:hAnsi="宋体"/>
          <w:sz w:val="24"/>
          <w:szCs w:val="24"/>
          <w:highlight w:val="none"/>
          <w:u w:val="single"/>
        </w:rPr>
        <w:t xml:space="preserve">。</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8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82"/>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982"/>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2"/>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82"/>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82"/>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2"/>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8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8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8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8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8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8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8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8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8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8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82"/>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8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8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8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8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82"/>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82"/>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82"/>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82"/>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982"/>
        <w:jc w:val="center"/>
        <w:spacing w:before="120" w:after="120" w:line="0" w:lineRule="atLeast"/>
        <w:rPr>
          <w:color w:val="000000"/>
        </w:rPr>
      </w:pPr>
      <w:r>
        <w:rPr>
          <w:rFonts w:hint="eastAsia"/>
          <w:color w:val="000000"/>
        </w:rPr>
        <w:t xml:space="preserve">                                         </w:t>
      </w:r>
      <w:r/>
    </w:p>
    <w:p>
      <w:pPr>
        <w:pStyle w:val="982"/>
        <w:jc w:val="right"/>
        <w:spacing w:before="120" w:after="120" w:line="0" w:lineRule="atLeast"/>
        <w:rPr>
          <w:color w:val="000000"/>
          <w:sz w:val="24"/>
          <w:szCs w:val="24"/>
        </w:rPr>
      </w:pPr>
      <w:r>
        <w:rPr>
          <w:rFonts w:hint="eastAsia"/>
          <w:color w:val="000000"/>
          <w:sz w:val="24"/>
          <w:szCs w:val="24"/>
        </w:rPr>
        <w:t xml:space="preserve"> </w:t>
      </w:r>
      <w:r/>
    </w:p>
    <w:p>
      <w:pPr>
        <w:pStyle w:val="982"/>
        <w:jc w:val="center"/>
        <w:spacing w:before="120" w:after="120" w:line="0" w:lineRule="atLeast"/>
        <w:rPr>
          <w:rFonts w:ascii="黑体" w:eastAsia="黑体"/>
          <w:bCs/>
          <w:color w:val="000000"/>
          <w:sz w:val="4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3"/>
      <w:r/>
      <w:bookmarkEnd w:id="184"/>
      <w:r/>
      <w:bookmarkEnd w:id="185"/>
      <w:r/>
      <w:bookmarkStart w:id="186" w:name="_Hlt16619369"/>
      <w:r/>
      <w:bookmarkEnd w:id="186"/>
      <w:r/>
      <w:bookmarkStart w:id="187" w:name="_Toc120614244"/>
      <w:r/>
      <w:bookmarkStart w:id="188" w:name="_Toc16938590"/>
      <w:r/>
      <w:bookmarkStart w:id="189" w:name="_Hlt16619350"/>
      <w:r/>
      <w:bookmarkStart w:id="190" w:name="_Toc20823346"/>
      <w:r/>
      <w:bookmarkStart w:id="191" w:name="_Toc462564139"/>
      <w:r/>
      <w:bookmarkStart w:id="192" w:name="_Toc479757211"/>
      <w:r>
        <w:rPr>
          <w:rFonts w:ascii="黑体" w:eastAsia="黑体"/>
          <w:bCs/>
          <w:color w:val="000000"/>
          <w:sz w:val="44"/>
        </w:rPr>
        <w:br w:type="page" w:clear="all"/>
      </w:r>
      <w:bookmarkEnd w:id="187"/>
      <w:r/>
      <w:bookmarkEnd w:id="188"/>
      <w:r/>
      <w:bookmarkEnd w:id="189"/>
      <w:r/>
      <w:bookmarkEnd w:id="190"/>
      <w:r/>
      <w:bookmarkStart w:id="193" w:name="_Toc49090575"/>
      <w:r/>
      <w:bookmarkStart w:id="194" w:name="_Toc120614281"/>
      <w:r/>
      <w:bookmarkStart w:id="195" w:name="_Toc26554093"/>
      <w:r/>
      <w:r/>
    </w:p>
    <w:p>
      <w:pPr>
        <w:pStyle w:val="982"/>
        <w:jc w:val="center"/>
        <w:spacing w:before="120" w:after="120" w:line="0" w:lineRule="atLeast"/>
        <w:rPr>
          <w:rFonts w:hint="eastAsia" w:hAnsi="宋体"/>
          <w:color w:val="000000"/>
          <w:sz w:val="24"/>
          <w:szCs w:val="24"/>
        </w:rPr>
        <w:outlineLvl w:val="0"/>
      </w:pPr>
      <w:r>
        <w:rPr>
          <w:rFonts w:hint="eastAsia" w:ascii="黑体" w:eastAsia="黑体"/>
          <w:bCs/>
          <w:color w:val="000000"/>
          <w:sz w:val="44"/>
        </w:rPr>
        <w:t xml:space="preserve">第四章 采购需求</w:t>
      </w:r>
      <w:r/>
    </w:p>
    <w:p>
      <w:pPr>
        <w:numPr>
          <w:ilvl w:val="0"/>
          <w:numId w:val="0"/>
        </w:numPr>
        <w:ind w:left="495" w:hanging="495"/>
        <w:jc w:val="both"/>
        <w:keepLines w:val="0"/>
        <w:keepNext w:val="0"/>
        <w:pageBreakBefore w:val="0"/>
        <w:spacing w:line="400" w:lineRule="exact"/>
        <w:widowControl w:val="off"/>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keepLines w:val="0"/>
        <w:keepNext w:val="0"/>
        <w:pageBreakBefore w:val="0"/>
        <w:spacing w:line="400" w:lineRule="exact"/>
        <w:widowControl w:val="off"/>
        <w:rPr>
          <w:rFonts w:hint="eastAsia" w:ascii="宋体" w:hAnsi="宋体" w:eastAsia="宋体" w:cs="宋体"/>
          <w:bCs/>
          <w:iCs/>
          <w:sz w:val="24"/>
          <w:szCs w:val="24"/>
          <w:u w:val="single"/>
        </w:rPr>
      </w:pPr>
      <w:r>
        <w:rPr>
          <w:rFonts w:hint="eastAsia" w:ascii="宋体" w:hAnsi="宋体" w:eastAsia="宋体" w:cs="宋体"/>
          <w:bCs/>
          <w:iCs/>
          <w:sz w:val="24"/>
          <w:szCs w:val="24"/>
        </w:rPr>
        <w:t xml:space="preserve">1. 如本项目采购产品被财政部、国家发改委、生态环境部等列入“节能产品</w:t>
      </w:r>
      <w:r>
        <w:rPr>
          <w:rFonts w:hint="eastAsia" w:ascii="宋体" w:hAnsi="宋体" w:eastAsia="宋体" w:cs="宋体"/>
          <w:bCs/>
          <w:iCs/>
          <w:sz w:val="24"/>
          <w:szCs w:val="24"/>
          <w:lang w:val="en-US" w:eastAsia="zh-CN"/>
        </w:rPr>
        <w:t xml:space="preserve">政府采购</w:t>
      </w:r>
      <w:r>
        <w:rPr>
          <w:rFonts w:hint="eastAsia" w:ascii="宋体" w:hAnsi="宋体" w:eastAsia="宋体" w:cs="宋体"/>
          <w:bCs/>
          <w:iCs/>
          <w:sz w:val="24"/>
          <w:szCs w:val="24"/>
        </w:rPr>
        <w:t xml:space="preserve">品目清单”强制采购范围，投标文件中必须提供国家确定的认证机构出具的、处于有效期之内的该节能产品认证证书。本项目强制节能产品有：</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u w:val="single"/>
          <w:lang w:val="en-US" w:eastAsia="zh-CN"/>
        </w:rPr>
        <w:t xml:space="preserve">无</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lang w:eastAsia="zh-CN"/>
        </w:rPr>
        <w:t xml:space="preserve">。</w:t>
      </w:r>
      <w:r/>
    </w:p>
    <w:p>
      <w:pPr>
        <w:ind w:firstLine="480"/>
        <w:keepLines w:val="0"/>
        <w:keepNext w:val="0"/>
        <w:pageBreakBefore w:val="0"/>
        <w:spacing w:line="400" w:lineRule="exact"/>
        <w:widowControl w:val="off"/>
        <w:rPr>
          <w:rFonts w:hint="eastAsia" w:ascii="宋体" w:hAnsi="宋体" w:eastAsia="宋体" w:cs="宋体"/>
          <w:bCs/>
          <w:iCs/>
          <w:sz w:val="24"/>
          <w:szCs w:val="24"/>
        </w:rPr>
      </w:pPr>
      <w:r>
        <w:rPr>
          <w:rFonts w:hint="eastAsia" w:ascii="宋体" w:hAnsi="宋体" w:eastAsia="宋体" w:cs="宋体"/>
          <w:bCs/>
          <w:iCs/>
          <w:sz w:val="24"/>
          <w:szCs w:val="24"/>
        </w:rPr>
        <w:t xml:space="preserve">2. 供应商对于投标产品的包装应按照“财办库〔2020〕123号《关于印发《商品包装政府采购需求标准（试行）》、《快递包装政府采购需求标准（试行）》的通知》”执行。</w:t>
      </w:r>
      <w:r/>
    </w:p>
    <w:p>
      <w:pPr>
        <w:ind w:firstLine="48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采购标的清单</w:t>
      </w:r>
      <w:r/>
    </w:p>
    <w:tbl>
      <w:tblPr>
        <w:tblStyle w:val="762"/>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2"/>
        <w:gridCol w:w="3144"/>
        <w:gridCol w:w="3303"/>
      </w:tblGrid>
      <w:tr>
        <w:trPr>
          <w:cantSplit/>
          <w:jc w:val="center"/>
        </w:trPr>
        <w:tc>
          <w:tcPr>
            <w:tcW w:w="206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4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3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206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shd w:val="clear" w:color="auto" w:fill="auto"/>
            <w:tcW w:w="314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sz w:val="24"/>
                <w:szCs w:val="24"/>
                <w:lang w:val="en-US" w:eastAsia="zh-CN" w:bidi="ar-SA"/>
              </w:rPr>
              <w:outlineLvl w:val="9"/>
            </w:pPr>
            <w:r>
              <w:rPr>
                <w:rFonts w:hint="eastAsia" w:ascii="Times New Roman" w:hAnsi="Times New Roman" w:eastAsia="宋体" w:cs="Times New Roman"/>
                <w:bCs/>
                <w:iCs/>
                <w:sz w:val="24"/>
                <w:szCs w:val="24"/>
              </w:rPr>
              <w:t xml:space="preserve">江苏扬州化学工业园区环境管理系统“建管用”提升项目</w:t>
            </w:r>
            <w:r/>
          </w:p>
        </w:tc>
        <w:tc>
          <w:tcPr>
            <w:shd w:val="clear" w:color="auto" w:fill="auto"/>
            <w:tcW w:w="3303" w:type="dxa"/>
            <w:vAlign w:val="center"/>
            <w:textDirection w:val="lrTb"/>
            <w:noWrap w:val="false"/>
          </w:tcPr>
          <w:p>
            <w:pPr>
              <w:jc w:val="center"/>
              <w:spacing w:line="360" w:lineRule="auto"/>
              <w:rPr>
                <w:rFonts w:hint="default" w:ascii="宋体" w:hAnsi="宋体" w:eastAsia="宋体" w:cs="宋体"/>
                <w:sz w:val="24"/>
                <w:szCs w:val="24"/>
                <w:lang w:val="en-US" w:eastAsia="zh-CN" w:bidi="ar-SA"/>
              </w:rPr>
            </w:pPr>
            <w:r>
              <w:rPr>
                <w:rFonts w:hint="eastAsia" w:ascii="宋体" w:hAnsi="宋体" w:cs="宋体"/>
                <w:bCs/>
                <w:iCs/>
                <w:color w:val="000000" w:themeColor="text1"/>
                <w:sz w:val="24"/>
                <w:szCs w:val="24"/>
                <w14:textFill>
                  <w14:solidFill>
                    <w14:schemeClr w14:val="tx1"/>
                  </w14:solidFill>
                </w14:textFill>
              </w:rPr>
              <w:t xml:space="preserve">软件和信息技术服务业</w:t>
            </w:r>
            <w:r/>
          </w:p>
        </w:tc>
      </w:tr>
    </w:tbl>
    <w:p>
      <w:pPr>
        <w:pStyle w:val="803"/>
        <w:ind w:left="0" w:firstLine="0"/>
        <w:rPr>
          <w:rFonts w:hint="eastAsia"/>
          <w:b/>
          <w:bCs/>
          <w:szCs w:val="28"/>
        </w:rPr>
        <w:outlineLvl w:val="0"/>
      </w:pPr>
      <w:r>
        <w:rPr>
          <w:rFonts w:hint="eastAsia" w:ascii="宋体" w:hAnsi="宋体" w:eastAsia="宋体" w:cs="Times New Roman"/>
          <w:b/>
          <w:bCs w:val="0"/>
          <w:color w:val="000000"/>
          <w:sz w:val="24"/>
          <w:szCs w:val="24"/>
          <w:lang w:val="en-US" w:eastAsia="zh-CN" w:bidi="ar-SA"/>
        </w:rPr>
        <w:t xml:space="preserve">二、</w:t>
      </w:r>
      <w:r>
        <w:rPr>
          <w:rFonts w:hint="eastAsia" w:ascii="宋体" w:hAnsi="宋体" w:cs="Times New Roman"/>
          <w:b/>
          <w:bCs w:val="0"/>
          <w:color w:val="000000"/>
          <w:sz w:val="24"/>
          <w:szCs w:val="24"/>
        </w:rPr>
        <w:t xml:space="preserve">建设清单</w:t>
      </w:r>
      <w:r/>
    </w:p>
    <w:tbl>
      <w:tblPr>
        <w:tblStyle w:val="762"/>
        <w:tblW w:w="0" w:type="auto"/>
        <w:tblInd w:w="3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642"/>
        <w:gridCol w:w="3568"/>
        <w:gridCol w:w="780"/>
        <w:gridCol w:w="825"/>
      </w:tblGrid>
      <w:tr>
        <w:trPr>
          <w:trHeight w:val="630"/>
        </w:trPr>
        <w:tc>
          <w:tcPr>
            <w:shd w:val="clear" w:color="auto" w:fill="auto"/>
            <w:tcW w:w="660" w:type="dxa"/>
            <w:vAlign w:val="center"/>
            <w:textDirection w:val="lrTb"/>
            <w:noWrap w:val="false"/>
          </w:tcPr>
          <w:p>
            <w:pPr>
              <w:jc w:val="center"/>
              <w:rPr>
                <w:rFonts w:ascii="Times New Roman" w:hAnsi="Times New Roman"/>
                <w:b/>
                <w:bCs/>
              </w:rPr>
            </w:pPr>
            <w:r>
              <w:rPr>
                <w:rFonts w:ascii="Times New Roman" w:hAnsi="Times New Roman"/>
                <w:b/>
                <w:bCs/>
              </w:rPr>
              <w:t xml:space="preserve">序号</w:t>
            </w:r>
            <w:r/>
          </w:p>
        </w:tc>
        <w:tc>
          <w:tcPr>
            <w:shd w:val="clear" w:color="000000" w:fill="ffffff"/>
            <w:tcW w:w="2642" w:type="dxa"/>
            <w:vAlign w:val="center"/>
            <w:textDirection w:val="lrTb"/>
            <w:noWrap w:val="false"/>
          </w:tcPr>
          <w:p>
            <w:pPr>
              <w:jc w:val="center"/>
              <w:rPr>
                <w:rFonts w:ascii="Times New Roman" w:hAnsi="Times New Roman"/>
                <w:b/>
                <w:bCs/>
              </w:rPr>
            </w:pPr>
            <w:r>
              <w:rPr>
                <w:rFonts w:ascii="Times New Roman" w:hAnsi="Times New Roman"/>
                <w:b/>
                <w:bCs/>
              </w:rPr>
              <w:t xml:space="preserve">模块</w:t>
            </w:r>
            <w:r/>
          </w:p>
        </w:tc>
        <w:tc>
          <w:tcPr>
            <w:shd w:val="clear" w:color="000000" w:fill="ffffff"/>
            <w:tcW w:w="3568" w:type="dxa"/>
            <w:vAlign w:val="center"/>
            <w:textDirection w:val="lrTb"/>
            <w:noWrap w:val="false"/>
          </w:tcPr>
          <w:p>
            <w:pPr>
              <w:jc w:val="center"/>
              <w:rPr>
                <w:rFonts w:ascii="Times New Roman" w:hAnsi="Times New Roman"/>
                <w:b/>
                <w:bCs/>
              </w:rPr>
            </w:pPr>
            <w:r>
              <w:rPr>
                <w:rFonts w:ascii="Times New Roman" w:hAnsi="Times New Roman"/>
                <w:b/>
                <w:bCs/>
              </w:rPr>
              <w:t xml:space="preserve">子模块</w:t>
            </w:r>
            <w:r/>
          </w:p>
        </w:tc>
        <w:tc>
          <w:tcPr>
            <w:shd w:val="clear" w:color="000000" w:fill="ffffff"/>
            <w:tcW w:w="780" w:type="dxa"/>
            <w:vAlign w:val="center"/>
            <w:textDirection w:val="lrTb"/>
            <w:noWrap w:val="false"/>
          </w:tcPr>
          <w:p>
            <w:pPr>
              <w:jc w:val="center"/>
              <w:rPr>
                <w:rFonts w:ascii="Times New Roman" w:hAnsi="Times New Roman"/>
                <w:b/>
                <w:bCs/>
              </w:rPr>
            </w:pPr>
            <w:r>
              <w:rPr>
                <w:rFonts w:ascii="Times New Roman" w:hAnsi="Times New Roman"/>
                <w:b/>
                <w:bCs/>
              </w:rPr>
              <w:t xml:space="preserve">单位</w:t>
            </w:r>
            <w:r/>
          </w:p>
        </w:tc>
        <w:tc>
          <w:tcPr>
            <w:shd w:val="clear" w:color="000000" w:fill="ffffff"/>
            <w:tcW w:w="825" w:type="dxa"/>
            <w:vAlign w:val="center"/>
            <w:textDirection w:val="lrTb"/>
            <w:noWrap w:val="false"/>
          </w:tcPr>
          <w:p>
            <w:pPr>
              <w:jc w:val="center"/>
              <w:rPr>
                <w:rFonts w:ascii="Times New Roman" w:hAnsi="Times New Roman"/>
                <w:b/>
                <w:bCs/>
              </w:rPr>
            </w:pPr>
            <w:r>
              <w:rPr>
                <w:rFonts w:ascii="Times New Roman" w:hAnsi="Times New Roman"/>
                <w:b/>
                <w:bCs/>
              </w:rPr>
              <w:t xml:space="preserve">数量</w:t>
            </w:r>
            <w:r/>
          </w:p>
        </w:tc>
      </w:tr>
      <w:tr>
        <w:trPr>
          <w:trHeight w:val="567" w:hRule="exact"/>
        </w:trPr>
        <w:tc>
          <w:tcPr>
            <w:tcW w:w="660" w:type="dxa"/>
            <w:vAlign w:val="center"/>
            <w:textDirection w:val="lrTb"/>
            <w:noWrap w:val="false"/>
          </w:tcPr>
          <w:p>
            <w:pPr>
              <w:jc w:val="center"/>
              <w:rPr>
                <w:rFonts w:ascii="Times New Roman" w:hAnsi="Times New Roman"/>
              </w:rPr>
            </w:pPr>
            <w:r/>
            <w:bookmarkStart w:id="196" w:name="_Hlk230616836"/>
            <w:r/>
            <w:bookmarkStart w:id="197" w:name="OLE_LINK43"/>
            <w:r/>
            <w:bookmarkStart w:id="198" w:name="OLE_LINK42"/>
            <w:r>
              <w:rPr>
                <w:rFonts w:ascii="Times New Roman" w:hAnsi="Times New Roman"/>
              </w:rPr>
              <w:t xml:space="preserve">1</w:t>
            </w:r>
            <w:r/>
          </w:p>
        </w:tc>
        <w:tc>
          <w:tcPr>
            <w:tcW w:w="2642" w:type="dxa"/>
            <w:vAlign w:val="center"/>
            <w:vMerge w:val="restart"/>
            <w:textDirection w:val="lrTb"/>
            <w:noWrap w:val="false"/>
          </w:tcPr>
          <w:p>
            <w:pPr>
              <w:rPr>
                <w:rFonts w:ascii="Times New Roman" w:hAnsi="Times New Roman"/>
              </w:rPr>
            </w:pPr>
            <w:r>
              <w:rPr>
                <w:rFonts w:ascii="Times New Roman" w:hAnsi="Times New Roman"/>
              </w:rPr>
              <w:t xml:space="preserve">监测监控能力提升</w:t>
            </w:r>
            <w:r/>
          </w:p>
        </w:tc>
        <w:tc>
          <w:tcPr>
            <w:tcW w:w="3568" w:type="dxa"/>
            <w:vAlign w:val="center"/>
            <w:textDirection w:val="lrTb"/>
            <w:noWrap w:val="false"/>
          </w:tcPr>
          <w:p>
            <w:pPr>
              <w:rPr>
                <w:rFonts w:ascii="Times New Roman" w:hAnsi="Times New Roman"/>
              </w:rPr>
            </w:pPr>
            <w:r>
              <w:rPr>
                <w:rFonts w:ascii="Times New Roman" w:hAnsi="Times New Roman"/>
              </w:rPr>
              <w:t xml:space="preserve">新增特征因子站接入</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56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2</w:t>
            </w:r>
            <w:r/>
          </w:p>
        </w:tc>
        <w:tc>
          <w:tcPr>
            <w:tcW w:w="2642" w:type="dxa"/>
            <w:vAlign w:val="center"/>
            <w:vMerge w:val="continue"/>
            <w:textDirection w:val="lrTb"/>
            <w:noWrap w:val="false"/>
          </w:tcPr>
          <w:p>
            <w:pPr>
              <w:rPr>
                <w:rFonts w:ascii="Times New Roman" w:hAnsi="Times New Roman"/>
              </w:rPr>
            </w:pPr>
            <w:r>
              <w:rPr>
                <w:rFonts w:ascii="Times New Roman" w:hAnsi="Times New Roman"/>
              </w:rPr>
            </w:r>
            <w:r/>
          </w:p>
        </w:tc>
        <w:tc>
          <w:tcPr>
            <w:tcW w:w="3568" w:type="dxa"/>
            <w:vAlign w:val="center"/>
            <w:textDirection w:val="lrTb"/>
            <w:noWrap w:val="false"/>
          </w:tcPr>
          <w:p>
            <w:pPr>
              <w:rPr>
                <w:rFonts w:ascii="Times New Roman" w:hAnsi="Times New Roman"/>
              </w:rPr>
            </w:pPr>
            <w:r>
              <w:rPr>
                <w:rFonts w:ascii="Times New Roman" w:hAnsi="Times New Roman"/>
              </w:rPr>
              <w:t xml:space="preserve">LDAR实时监测</w:t>
            </w:r>
            <w:r>
              <w:rPr>
                <w:rFonts w:hint="eastAsia" w:ascii="Times New Roman" w:hAnsi="Times New Roman"/>
              </w:rPr>
              <w:t xml:space="preserve">接入</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109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3</w:t>
            </w:r>
            <w:r/>
          </w:p>
        </w:tc>
        <w:tc>
          <w:tcPr>
            <w:tcW w:w="2642" w:type="dxa"/>
            <w:vAlign w:val="center"/>
            <w:vMerge w:val="continue"/>
            <w:textDirection w:val="lrTb"/>
            <w:noWrap w:val="false"/>
          </w:tcPr>
          <w:p>
            <w:pPr>
              <w:rPr>
                <w:rFonts w:ascii="Times New Roman" w:hAnsi="Times New Roman"/>
              </w:rPr>
            </w:pPr>
            <w:r>
              <w:rPr>
                <w:rFonts w:ascii="Times New Roman" w:hAnsi="Times New Roman"/>
              </w:rPr>
            </w:r>
            <w:r/>
          </w:p>
        </w:tc>
        <w:tc>
          <w:tcPr>
            <w:tcW w:w="3568" w:type="dxa"/>
            <w:vAlign w:val="center"/>
            <w:textDirection w:val="lrTb"/>
            <w:noWrap w:val="false"/>
          </w:tcPr>
          <w:p>
            <w:pPr>
              <w:rPr>
                <w:rFonts w:ascii="Times New Roman" w:hAnsi="Times New Roman"/>
              </w:rPr>
            </w:pPr>
            <w:r>
              <w:rPr>
                <w:rFonts w:ascii="Times New Roman" w:hAnsi="Times New Roman"/>
              </w:rPr>
              <w:t xml:space="preserve">企业非现场运行工况数据</w:t>
            </w:r>
            <w:r>
              <w:rPr>
                <w:rFonts w:hint="eastAsia" w:ascii="Times New Roman" w:hAnsi="Times New Roman"/>
              </w:rPr>
              <w:t xml:space="preserve">接入</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56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4</w:t>
            </w:r>
            <w:r/>
          </w:p>
        </w:tc>
        <w:tc>
          <w:tcPr>
            <w:tcW w:w="2642" w:type="dxa"/>
            <w:vAlign w:val="center"/>
            <w:vMerge w:val="restart"/>
            <w:textDirection w:val="lrTb"/>
            <w:noWrap w:val="false"/>
          </w:tcPr>
          <w:p>
            <w:pPr>
              <w:rPr>
                <w:rFonts w:ascii="Times New Roman" w:hAnsi="Times New Roman"/>
              </w:rPr>
            </w:pPr>
            <w:r>
              <w:rPr>
                <w:rFonts w:ascii="Times New Roman" w:hAnsi="Times New Roman"/>
              </w:rPr>
              <w:t xml:space="preserve">运维质控与报警升级</w:t>
            </w:r>
            <w:r/>
          </w:p>
        </w:tc>
        <w:tc>
          <w:tcPr>
            <w:tcW w:w="3568" w:type="dxa"/>
            <w:vAlign w:val="center"/>
            <w:textDirection w:val="lrTb"/>
            <w:noWrap w:val="false"/>
          </w:tcPr>
          <w:p>
            <w:pPr>
              <w:rPr>
                <w:rFonts w:ascii="Times New Roman" w:hAnsi="Times New Roman"/>
              </w:rPr>
            </w:pPr>
            <w:r>
              <w:rPr>
                <w:rFonts w:ascii="Times New Roman" w:hAnsi="Times New Roman"/>
              </w:rPr>
              <w:t xml:space="preserve">运维质控在线监管</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56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5</w:t>
            </w:r>
            <w:r/>
          </w:p>
        </w:tc>
        <w:tc>
          <w:tcPr>
            <w:tcW w:w="2642" w:type="dxa"/>
            <w:vAlign w:val="center"/>
            <w:vMerge w:val="continue"/>
            <w:textDirection w:val="lrTb"/>
            <w:noWrap w:val="false"/>
          </w:tcPr>
          <w:p>
            <w:pPr>
              <w:rPr>
                <w:rFonts w:ascii="Times New Roman" w:hAnsi="Times New Roman"/>
              </w:rPr>
            </w:pPr>
            <w:r>
              <w:rPr>
                <w:rFonts w:ascii="Times New Roman" w:hAnsi="Times New Roman"/>
              </w:rPr>
            </w:r>
            <w:r/>
          </w:p>
        </w:tc>
        <w:tc>
          <w:tcPr>
            <w:tcW w:w="3568" w:type="dxa"/>
            <w:vAlign w:val="center"/>
            <w:textDirection w:val="lrTb"/>
            <w:noWrap w:val="false"/>
          </w:tcPr>
          <w:p>
            <w:pPr>
              <w:rPr>
                <w:rFonts w:ascii="Times New Roman" w:hAnsi="Times New Roman"/>
              </w:rPr>
            </w:pPr>
            <w:r>
              <w:rPr>
                <w:rFonts w:ascii="Times New Roman" w:hAnsi="Times New Roman"/>
              </w:rPr>
              <w:t xml:space="preserve">预警阈值动态优化</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849"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6</w:t>
            </w:r>
            <w:r/>
          </w:p>
        </w:tc>
        <w:tc>
          <w:tcPr>
            <w:tcW w:w="2642" w:type="dxa"/>
            <w:vAlign w:val="center"/>
            <w:vMerge w:val="continue"/>
            <w:textDirection w:val="lrTb"/>
            <w:noWrap w:val="false"/>
          </w:tcPr>
          <w:p>
            <w:pPr>
              <w:rPr>
                <w:rFonts w:ascii="Times New Roman" w:hAnsi="Times New Roman"/>
              </w:rPr>
            </w:pPr>
            <w:r>
              <w:rPr>
                <w:rFonts w:ascii="Times New Roman" w:hAnsi="Times New Roman"/>
              </w:rPr>
            </w:r>
            <w:r/>
          </w:p>
        </w:tc>
        <w:tc>
          <w:tcPr>
            <w:tcW w:w="3568" w:type="dxa"/>
            <w:vAlign w:val="center"/>
            <w:textDirection w:val="lrTb"/>
            <w:noWrap w:val="false"/>
          </w:tcPr>
          <w:p>
            <w:pPr>
              <w:rPr>
                <w:rFonts w:ascii="Times New Roman" w:hAnsi="Times New Roman"/>
              </w:rPr>
            </w:pPr>
            <w:r>
              <w:rPr>
                <w:rFonts w:hint="eastAsia" w:ascii="Times New Roman" w:hAnsi="Times New Roman"/>
                <w:lang w:val="en-US" w:eastAsia="zh-CN"/>
              </w:rPr>
              <w:t xml:space="preserve">化工</w:t>
            </w:r>
            <w:r>
              <w:rPr>
                <w:rFonts w:ascii="Times New Roman" w:hAnsi="Times New Roman"/>
              </w:rPr>
              <w:t xml:space="preserve">园区报警闭环体系优化</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56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7</w:t>
            </w:r>
            <w:r/>
          </w:p>
        </w:tc>
        <w:tc>
          <w:tcPr>
            <w:tcW w:w="2642" w:type="dxa"/>
            <w:vAlign w:val="center"/>
            <w:vMerge w:val="continue"/>
            <w:textDirection w:val="lrTb"/>
            <w:noWrap w:val="false"/>
          </w:tcPr>
          <w:p>
            <w:pPr>
              <w:rPr>
                <w:rFonts w:ascii="Times New Roman" w:hAnsi="Times New Roman"/>
              </w:rPr>
            </w:pPr>
            <w:r>
              <w:rPr>
                <w:rFonts w:ascii="Times New Roman" w:hAnsi="Times New Roman"/>
              </w:rPr>
            </w:r>
            <w:r/>
          </w:p>
        </w:tc>
        <w:tc>
          <w:tcPr>
            <w:tcW w:w="3568" w:type="dxa"/>
            <w:vAlign w:val="center"/>
            <w:textDirection w:val="lrTb"/>
            <w:noWrap w:val="false"/>
          </w:tcPr>
          <w:p>
            <w:pPr>
              <w:rPr>
                <w:rFonts w:ascii="Times New Roman" w:hAnsi="Times New Roman"/>
              </w:rPr>
            </w:pPr>
            <w:r>
              <w:rPr>
                <w:rFonts w:ascii="Times New Roman" w:hAnsi="Times New Roman"/>
              </w:rPr>
              <w:t xml:space="preserve">数据研判提前预警</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56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8</w:t>
            </w:r>
            <w:r/>
          </w:p>
        </w:tc>
        <w:tc>
          <w:tcPr>
            <w:tcW w:w="2642" w:type="dxa"/>
            <w:vAlign w:val="center"/>
            <w:vMerge w:val="restart"/>
            <w:textDirection w:val="lrTb"/>
            <w:noWrap w:val="false"/>
          </w:tcPr>
          <w:p>
            <w:pPr>
              <w:rPr>
                <w:rFonts w:ascii="Times New Roman" w:hAnsi="Times New Roman"/>
              </w:rPr>
            </w:pPr>
            <w:r>
              <w:rPr>
                <w:rFonts w:ascii="Times New Roman" w:hAnsi="Times New Roman"/>
              </w:rPr>
              <w:t xml:space="preserve">高值分析与溯源提升</w:t>
            </w:r>
            <w:r/>
          </w:p>
        </w:tc>
        <w:tc>
          <w:tcPr>
            <w:tcW w:w="3568" w:type="dxa"/>
            <w:vAlign w:val="center"/>
            <w:textDirection w:val="lrTb"/>
            <w:noWrap w:val="false"/>
          </w:tcPr>
          <w:p>
            <w:pPr>
              <w:rPr>
                <w:rFonts w:ascii="Times New Roman" w:hAnsi="Times New Roman"/>
              </w:rPr>
            </w:pPr>
            <w:r>
              <w:rPr>
                <w:rFonts w:ascii="Times New Roman" w:hAnsi="Times New Roman"/>
              </w:rPr>
              <w:t xml:space="preserve">多维数据关联分析模型</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56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9</w:t>
            </w:r>
            <w:r/>
          </w:p>
        </w:tc>
        <w:tc>
          <w:tcPr>
            <w:tcW w:w="2642" w:type="dxa"/>
            <w:vAlign w:val="center"/>
            <w:vMerge w:val="continue"/>
            <w:textDirection w:val="lrTb"/>
            <w:noWrap w:val="false"/>
          </w:tcPr>
          <w:p>
            <w:pPr>
              <w:rPr>
                <w:rFonts w:ascii="Times New Roman" w:hAnsi="Times New Roman"/>
              </w:rPr>
            </w:pPr>
            <w:r>
              <w:rPr>
                <w:rFonts w:ascii="Times New Roman" w:hAnsi="Times New Roman"/>
              </w:rPr>
            </w:r>
            <w:r/>
          </w:p>
        </w:tc>
        <w:tc>
          <w:tcPr>
            <w:tcW w:w="3568" w:type="dxa"/>
            <w:vAlign w:val="center"/>
            <w:textDirection w:val="lrTb"/>
            <w:noWrap w:val="false"/>
          </w:tcPr>
          <w:p>
            <w:pPr>
              <w:rPr>
                <w:rFonts w:ascii="Times New Roman" w:hAnsi="Times New Roman"/>
              </w:rPr>
            </w:pPr>
            <w:r>
              <w:rPr>
                <w:rFonts w:ascii="Times New Roman" w:hAnsi="Times New Roman"/>
              </w:rPr>
              <w:t xml:space="preserve">移动+固定多维溯源分析</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56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10</w:t>
            </w:r>
            <w:r/>
          </w:p>
        </w:tc>
        <w:tc>
          <w:tcPr>
            <w:tcW w:w="2642" w:type="dxa"/>
            <w:vAlign w:val="center"/>
            <w:vMerge w:val="continue"/>
            <w:textDirection w:val="lrTb"/>
            <w:noWrap w:val="false"/>
          </w:tcPr>
          <w:p>
            <w:pPr>
              <w:rPr>
                <w:rFonts w:ascii="Times New Roman" w:hAnsi="Times New Roman"/>
              </w:rPr>
            </w:pPr>
            <w:r>
              <w:rPr>
                <w:rFonts w:ascii="Times New Roman" w:hAnsi="Times New Roman"/>
              </w:rPr>
            </w:r>
            <w:r/>
          </w:p>
        </w:tc>
        <w:tc>
          <w:tcPr>
            <w:tcW w:w="3568" w:type="dxa"/>
            <w:vAlign w:val="center"/>
            <w:textDirection w:val="lrTb"/>
            <w:noWrap w:val="false"/>
          </w:tcPr>
          <w:p>
            <w:pPr>
              <w:rPr>
                <w:rFonts w:ascii="Times New Roman" w:hAnsi="Times New Roman"/>
              </w:rPr>
            </w:pPr>
            <w:r>
              <w:rPr>
                <w:rFonts w:ascii="Times New Roman" w:hAnsi="Times New Roman"/>
              </w:rPr>
              <w:t xml:space="preserve">非现场工况监管能力提升</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56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11</w:t>
            </w:r>
            <w:r/>
          </w:p>
        </w:tc>
        <w:tc>
          <w:tcPr>
            <w:tcW w:w="2642" w:type="dxa"/>
            <w:vAlign w:val="center"/>
            <w:vMerge w:val="restart"/>
            <w:textDirection w:val="lrTb"/>
            <w:noWrap w:val="false"/>
          </w:tcPr>
          <w:p>
            <w:pPr>
              <w:rPr>
                <w:rFonts w:ascii="Times New Roman" w:hAnsi="Times New Roman"/>
              </w:rPr>
            </w:pPr>
            <w:r>
              <w:rPr>
                <w:rFonts w:ascii="Times New Roman" w:hAnsi="Times New Roman"/>
              </w:rPr>
              <w:t xml:space="preserve">信息传输能力建设</w:t>
            </w:r>
            <w:r/>
          </w:p>
        </w:tc>
        <w:tc>
          <w:tcPr>
            <w:tcW w:w="3568" w:type="dxa"/>
            <w:vAlign w:val="center"/>
            <w:textDirection w:val="lrTb"/>
            <w:noWrap w:val="false"/>
          </w:tcPr>
          <w:p>
            <w:pPr>
              <w:rPr>
                <w:rFonts w:ascii="Times New Roman" w:hAnsi="Times New Roman"/>
              </w:rPr>
            </w:pPr>
            <w:r>
              <w:rPr>
                <w:rFonts w:ascii="Times New Roman" w:hAnsi="Times New Roman"/>
              </w:rPr>
              <w:t xml:space="preserve">报警信息传输仪征市局</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56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12</w:t>
            </w:r>
            <w:r/>
          </w:p>
        </w:tc>
        <w:tc>
          <w:tcPr>
            <w:tcW w:w="2642" w:type="dxa"/>
            <w:vAlign w:val="center"/>
            <w:vMerge w:val="continue"/>
            <w:textDirection w:val="lrTb"/>
            <w:noWrap w:val="false"/>
          </w:tcPr>
          <w:p>
            <w:pPr>
              <w:rPr>
                <w:rFonts w:ascii="Times New Roman" w:hAnsi="Times New Roman"/>
              </w:rPr>
            </w:pPr>
            <w:r>
              <w:rPr>
                <w:rFonts w:ascii="Times New Roman" w:hAnsi="Times New Roman"/>
              </w:rPr>
            </w:r>
            <w:r/>
          </w:p>
        </w:tc>
        <w:tc>
          <w:tcPr>
            <w:tcW w:w="3568" w:type="dxa"/>
            <w:vAlign w:val="center"/>
            <w:textDirection w:val="lrTb"/>
            <w:noWrap w:val="false"/>
          </w:tcPr>
          <w:p>
            <w:pPr>
              <w:rPr>
                <w:rFonts w:ascii="Times New Roman" w:hAnsi="Times New Roman"/>
              </w:rPr>
            </w:pPr>
            <w:r>
              <w:rPr>
                <w:rFonts w:ascii="Times New Roman" w:hAnsi="Times New Roman"/>
              </w:rPr>
              <w:t xml:space="preserve">省厅监管系统传输上传</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r/>
          </w:p>
        </w:tc>
      </w:tr>
      <w:tr>
        <w:trPr>
          <w:trHeight w:val="567" w:hRule="exact"/>
        </w:trPr>
        <w:tc>
          <w:tcPr>
            <w:tcW w:w="660" w:type="dxa"/>
            <w:vAlign w:val="center"/>
            <w:textDirection w:val="lrTb"/>
            <w:noWrap w:val="false"/>
          </w:tcPr>
          <w:p>
            <w:pPr>
              <w:jc w:val="center"/>
              <w:rPr>
                <w:rFonts w:ascii="Times New Roman" w:hAnsi="Times New Roman"/>
              </w:rPr>
            </w:pPr>
            <w:r>
              <w:rPr>
                <w:rFonts w:ascii="Times New Roman" w:hAnsi="Times New Roman"/>
              </w:rPr>
              <w:t xml:space="preserve">13</w:t>
            </w:r>
            <w:r/>
          </w:p>
        </w:tc>
        <w:tc>
          <w:tcPr>
            <w:tcW w:w="2642" w:type="dxa"/>
            <w:vAlign w:val="center"/>
            <w:vMerge w:val="continue"/>
            <w:textDirection w:val="lrTb"/>
            <w:noWrap w:val="false"/>
          </w:tcPr>
          <w:p>
            <w:pPr>
              <w:rPr>
                <w:rFonts w:ascii="Times New Roman" w:hAnsi="Times New Roman"/>
              </w:rPr>
            </w:pPr>
            <w:r>
              <w:rPr>
                <w:rFonts w:ascii="Times New Roman" w:hAnsi="Times New Roman"/>
              </w:rPr>
            </w:r>
            <w:r/>
          </w:p>
        </w:tc>
        <w:tc>
          <w:tcPr>
            <w:tcW w:w="3568" w:type="dxa"/>
            <w:vAlign w:val="center"/>
            <w:textDirection w:val="lrTb"/>
            <w:noWrap w:val="false"/>
          </w:tcPr>
          <w:p>
            <w:pPr>
              <w:rPr>
                <w:rFonts w:ascii="Times New Roman" w:hAnsi="Times New Roman"/>
              </w:rPr>
            </w:pPr>
            <w:r>
              <w:rPr>
                <w:rFonts w:ascii="Times New Roman" w:hAnsi="Times New Roman"/>
              </w:rPr>
              <w:t xml:space="preserve">末端监控报警传输回流</w:t>
            </w:r>
            <w:r/>
          </w:p>
        </w:tc>
        <w:tc>
          <w:tcPr>
            <w:tcW w:w="780" w:type="dxa"/>
            <w:vAlign w:val="center"/>
            <w:textDirection w:val="lrTb"/>
            <w:noWrap w:val="false"/>
          </w:tcPr>
          <w:p>
            <w:pPr>
              <w:jc w:val="center"/>
              <w:rPr>
                <w:rFonts w:ascii="Times New Roman" w:hAnsi="Times New Roman"/>
              </w:rPr>
            </w:pPr>
            <w:r>
              <w:rPr>
                <w:rFonts w:ascii="Times New Roman" w:hAnsi="Times New Roman"/>
              </w:rPr>
              <w:t xml:space="preserve">套</w:t>
            </w:r>
            <w:r/>
          </w:p>
        </w:tc>
        <w:tc>
          <w:tcPr>
            <w:tcW w:w="825" w:type="dxa"/>
            <w:vAlign w:val="center"/>
            <w:textDirection w:val="lrTb"/>
            <w:noWrap w:val="false"/>
          </w:tcPr>
          <w:p>
            <w:pPr>
              <w:jc w:val="center"/>
              <w:rPr>
                <w:rFonts w:ascii="Times New Roman" w:hAnsi="Times New Roman"/>
              </w:rPr>
            </w:pPr>
            <w:r>
              <w:rPr>
                <w:rFonts w:ascii="Times New Roman" w:hAnsi="Times New Roman"/>
              </w:rPr>
              <w:t xml:space="preserve">1</w:t>
            </w:r>
            <w:bookmarkEnd w:id="196"/>
            <w:r/>
            <w:bookmarkEnd w:id="197"/>
            <w:r/>
            <w:bookmarkEnd w:id="198"/>
            <w:r/>
            <w:r/>
          </w:p>
        </w:tc>
      </w:tr>
    </w:tbl>
    <w:p>
      <w:pPr>
        <w:jc w:val="left"/>
        <w:spacing w:line="360" w:lineRule="auto"/>
        <w:rPr>
          <w:rFonts w:hint="eastAsia" w:ascii="宋体" w:hAnsi="宋体" w:cs="Times New Roman"/>
          <w:b/>
          <w:bCs w:val="0"/>
          <w:color w:val="000000"/>
          <w:sz w:val="24"/>
          <w:szCs w:val="24"/>
          <w:lang w:val="en-US" w:eastAsia="zh-CN" w:bidi="ar-SA"/>
        </w:rPr>
        <w:outlineLvl w:val="1"/>
      </w:pPr>
      <w:r>
        <w:rPr>
          <w:rFonts w:hint="eastAsia" w:ascii="宋体" w:hAnsi="宋体" w:cs="Times New Roman"/>
          <w:b/>
          <w:bCs w:val="0"/>
          <w:color w:val="000000"/>
          <w:sz w:val="24"/>
          <w:szCs w:val="24"/>
          <w:lang w:val="en-US" w:eastAsia="zh-CN" w:bidi="ar-SA"/>
        </w:rPr>
      </w:r>
      <w:r/>
    </w:p>
    <w:p>
      <w:pPr>
        <w:pStyle w:val="803"/>
        <w:ind w:left="0" w:firstLine="0"/>
        <w:rPr>
          <w:b/>
          <w:bCs/>
          <w:szCs w:val="28"/>
        </w:rPr>
        <w:outlineLvl w:val="0"/>
      </w:pPr>
      <w:r>
        <w:rPr>
          <w:rFonts w:hint="eastAsia" w:ascii="宋体" w:hAnsi="宋体" w:eastAsia="宋体" w:cs="Times New Roman"/>
          <w:b/>
          <w:bCs w:val="0"/>
          <w:color w:val="000000"/>
          <w:sz w:val="24"/>
          <w:szCs w:val="24"/>
          <w:lang w:val="en-US" w:eastAsia="zh-CN" w:bidi="ar-SA"/>
        </w:rPr>
        <w:t xml:space="preserve">三、</w:t>
      </w:r>
      <w:r>
        <w:rPr>
          <w:rFonts w:hint="eastAsia"/>
          <w:b/>
          <w:bCs/>
          <w:szCs w:val="28"/>
        </w:rPr>
        <w:t xml:space="preserve">技术要求</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bookmarkStart w:id="199" w:name="OLE_LINK32"/>
      <w:r>
        <w:rPr>
          <w:rFonts w:hint="eastAsia" w:ascii="宋体" w:hAnsi="宋体" w:eastAsia="宋体" w:cs="宋体"/>
          <w:sz w:val="24"/>
          <w:szCs w:val="24"/>
        </w:rPr>
        <w:t xml:space="preserve">投标人需明确知晓并充分理解，现有环境管理信息系统作为智慧园区整体系统的重要组成部分，经过前期建设与运行，虽已初步实现监测监控基础能力建设、各类环境数据的全面接入及超标报警的闭环处置等基础功能，在一定程度上提升了</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园区环境管理的效率和精细化水平，但结合</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管理工作的实际需求、上级监管的严格要求以及系统长期运行的实际情况来看，该系统仍存在诸多亟待提升改造的问题。投标人在技术层面需充分考虑在现有智慧园区平台、环境管理信息系统基础上进行融合提升，切实解决现有系统存在的短板问题，全面优化现有系统平台的功能和性能做好融合提升与衔接工作。主体融合提升包含四大核心提升方向，即监测监控能力提升、运维质控与报警功能升级、高值数据分析与污染溯源能力提升、信息传输能力建设，技术要求如下：</w:t>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1、监测监控能力提升</w:t>
      </w:r>
      <w:bookmarkEnd w:id="199"/>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监测监控能力提升是</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园区环境管理的基础支撑，通过对</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园区缺失的特征因子能力监测、非现场工况缺失等各类环境及运行工况监测数据的统一接入、规范管理与基础分析，补充</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园区环境数据、企业远程监管的完整性、准确性与连续性，为</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园区日常环境监管提供可靠数据依据。</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sz w:val="24"/>
          <w:szCs w:val="24"/>
        </w:rPr>
      </w:pPr>
      <w:r/>
      <w:bookmarkStart w:id="200" w:name="OLE_LINK19"/>
      <w:r>
        <w:rPr>
          <w:rFonts w:hint="eastAsia" w:ascii="宋体" w:hAnsi="宋体" w:eastAsia="宋体" w:cs="宋体"/>
          <w:b w:val="0"/>
          <w:bCs w:val="0"/>
          <w:sz w:val="24"/>
          <w:szCs w:val="24"/>
        </w:rPr>
        <w:t xml:space="preserve">1.1 新增特征因子站接入</w:t>
      </w:r>
      <w:bookmarkEnd w:id="200"/>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实现</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园区新增特征因子站数据的统一采集与接入，方便日常管理与查看使用。</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系统支持</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园区特征因子站数据采集与接入，保证数据正常上传、存储与稳定展示，确保数据采集过程连续可靠。</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提供站点数据查询、趋势查看、报表导出等基础功能，满足日常监管、数据整理、资料存档等实际工作需要。</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建立</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园区特征因子与企业废气排放特征分析，可与企业废气特征因子库进行匹配对比，便于进一步开展数据分析、问题排查与日常管理工作。</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bookmarkStart w:id="201" w:name="OLE_LINK20"/>
      <w:r>
        <w:rPr>
          <w:rFonts w:hint="eastAsia" w:ascii="宋体" w:hAnsi="宋体" w:eastAsia="宋体" w:cs="宋体"/>
          <w:sz w:val="24"/>
          <w:szCs w:val="24"/>
        </w:rPr>
        <w:t xml:space="preserve">★</w:t>
      </w:r>
      <w:bookmarkEnd w:id="201"/>
      <w:r/>
      <w:bookmarkStart w:id="202" w:name="OLE_LINK4"/>
      <w:r>
        <w:rPr>
          <w:rFonts w:hint="eastAsia" w:ascii="宋体" w:hAnsi="宋体" w:eastAsia="宋体" w:cs="宋体"/>
          <w:sz w:val="24"/>
          <w:szCs w:val="24"/>
        </w:rPr>
        <w:t xml:space="preserve">搭建特征因子站点多维分析研判功能，构建多站点、多维度数据交叉比对与联动分析机制，深度挖掘站点监测数据</w:t>
      </w:r>
      <w:r>
        <w:rPr>
          <w:rFonts w:hint="eastAsia" w:ascii="宋体" w:hAnsi="宋体" w:eastAsia="宋体" w:cs="宋体"/>
          <w:color w:val="auto"/>
          <w:sz w:val="24"/>
          <w:szCs w:val="24"/>
        </w:rPr>
        <w:t xml:space="preserve">潜在规律，实现数据动态趋势研判、异常态势感知及风险预警提示</w:t>
      </w:r>
      <w:bookmarkEnd w:id="202"/>
      <w:r>
        <w:rPr>
          <w:rFonts w:hint="eastAsia" w:ascii="宋体" w:hAnsi="宋体" w:eastAsia="宋体" w:cs="宋体"/>
          <w:color w:val="auto"/>
          <w:sz w:val="24"/>
          <w:szCs w:val="24"/>
        </w:rPr>
        <w:t xml:space="preserve">功能。</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 LDAR 实时监测接入</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完善 LDAR 数据采集与传输接入相关流程，提高现场数据处理效率和工作规范性。</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★提供检测点位模板导入功能，支持 Excel 数据按模板导入、导出，方便日常批量处理、信息核对与数据更新。</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bookmarkStart w:id="203" w:name="OLE_LINK21"/>
      <w:r>
        <w:rPr>
          <w:rFonts w:hint="eastAsia" w:ascii="宋体" w:hAnsi="宋体" w:eastAsia="宋体" w:cs="宋体"/>
          <w:color w:val="auto"/>
          <w:sz w:val="24"/>
          <w:szCs w:val="24"/>
        </w:rPr>
        <w:t xml:space="preserve">★</w:t>
      </w:r>
      <w:bookmarkEnd w:id="203"/>
      <w:r>
        <w:rPr>
          <w:rFonts w:hint="eastAsia" w:ascii="宋体" w:hAnsi="宋体" w:eastAsia="宋体" w:cs="宋体"/>
          <w:color w:val="auto"/>
          <w:sz w:val="24"/>
          <w:szCs w:val="24"/>
        </w:rPr>
        <w:t xml:space="preserve">支持 LDAR 检测设备移动采集能力，体现移动端采集检测数据实时获取能力，确保数据及时回传至平台，减少人工录入环节，提高工作效率。</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开发数据转发内网程序，保障数据稳定、安全传输到</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园区内网，确保数据不丢失、不中断、不延迟。</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将 LDAR 泄露与报警信息同步到企业报警系统，便于企业及时掌</w:t>
      </w:r>
      <w:r>
        <w:rPr>
          <w:rFonts w:hint="eastAsia" w:ascii="宋体" w:hAnsi="宋体" w:eastAsia="宋体" w:cs="宋体"/>
          <w:sz w:val="24"/>
          <w:szCs w:val="24"/>
        </w:rPr>
        <w:t xml:space="preserve">握现场情况并开展相应处理。</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 企业非现场运行工况数据接入</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规范企业工况数据采集与接入相关工作，实现数据稳定上传与统一管理。</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梳理企业仓储基础档案，完善监测点位 “一企一罐” 相关信息，确保档案完整准确、便于查阅和更新维护。</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完成企业与</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园区之间专线组网，保障数据传输稳定可靠，不受外部网络波动影响。</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定制开发数据采集及接入程序，对接企业 DCS 或 PLC 系统，获取液位、压力、温度等实时数据并传输至</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园区内网。</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在企业现场完成数据采集与接入程序的调试、部署与安装，保障系统长期稳定运行，满足日常监管需求。</w:t>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2、运维质控与报警升级</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运维质控与报警升级是保障</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园区监测系统稳定运行、提升数据质量的关键环节，通过规范运维流程、优化报警规则、完善闭环管理，减少无效报警，提高处置效率，保障监测数据真实可用。</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 运维质控在线监管</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完善运维管理相关流程，方便</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园区对运维工作进行日常监督与管理。</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搭建运维质控模块，第三方运维单位可通过平台填报运维情况，由</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园区进行统一汇总、记录与存档。</w:t>
      </w:r>
      <w:r/>
    </w:p>
    <w:p>
      <w:pPr>
        <w:pStyle w:val="765"/>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sz w:val="24"/>
          <w:szCs w:val="24"/>
        </w:rPr>
        <w:t xml:space="preserve">★开发</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园区环境监测站点运维调度管控功能，可对各类运维核心要素进行系统化归档管理，动态追踪运维工作推进态势，实现运维计划周期化管控</w:t>
      </w:r>
      <w:r>
        <w:rPr>
          <w:rFonts w:hint="eastAsia" w:ascii="宋体" w:hAnsi="宋体" w:eastAsia="宋体" w:cs="宋体"/>
          <w:color w:val="auto"/>
          <w:sz w:val="24"/>
          <w:szCs w:val="24"/>
        </w:rPr>
        <w:t xml:space="preserve">、进度可视化呈现、到期节点智能提醒及计划落地执行的全闭环管理</w:t>
      </w:r>
      <w:bookmarkStart w:id="204" w:name="OLE_LINK22"/>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bookmarkEnd w:id="204"/>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从设备在线率、数据传输率、运维及时率、报警故障处置率等方面对运维情况进行日常考核，提升运维工作质量与规范化水平。</w:t>
      </w:r>
      <w:r/>
    </w:p>
    <w:p>
      <w:pPr>
        <w:pStyle w:val="765"/>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★搭建</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园区环境监测设备全生命周期检维修管控功能，搭建异常事件闭环处置流程，展示设备异常风险事件智能派发、分级流转与全程督办，支撑运维作业处置整改及过程成果可视化留存。</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支持运维台账上传、录入与查看，方便工作留痕与后续查阅追溯。</w:t>
      </w:r>
      <w:bookmarkStart w:id="205" w:name="OLE_LINK23"/>
      <w:r/>
      <w:bookmarkEnd w:id="205"/>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运维单位填报数据通过采集服务加密传输，保证数据在传输过程中的安全与完整。</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 预警阈值动态优化</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园区实际情况优化报警阈值，提高报警的合理性与实用性。</w:t>
      </w:r>
      <w:r/>
    </w:p>
    <w:p>
      <w:pPr>
        <w:pStyle w:val="765"/>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bookmarkStart w:id="206" w:name="OLE_LINK14"/>
      <w:r>
        <w:rPr>
          <w:rFonts w:hint="eastAsia" w:ascii="宋体" w:hAnsi="宋体" w:eastAsia="宋体" w:cs="宋体"/>
          <w:sz w:val="24"/>
          <w:szCs w:val="24"/>
        </w:rPr>
        <w:t xml:space="preserve">优化空气站关键监测因子如臭氧、PM</w:t>
      </w:r>
      <w:r>
        <w:rPr>
          <w:rFonts w:hint="eastAsia" w:ascii="宋体" w:hAnsi="宋体" w:eastAsia="宋体" w:cs="宋体"/>
          <w:sz w:val="24"/>
          <w:szCs w:val="24"/>
          <w:vertAlign w:val="subscript"/>
        </w:rPr>
        <w:t xml:space="preserve">2.5</w:t>
      </w:r>
      <w:r>
        <w:rPr>
          <w:rFonts w:hint="eastAsia" w:ascii="宋体" w:hAnsi="宋体" w:eastAsia="宋体" w:cs="宋体"/>
          <w:sz w:val="24"/>
          <w:szCs w:val="24"/>
        </w:rPr>
        <w:t xml:space="preserve">、PM</w:t>
      </w:r>
      <w:r>
        <w:rPr>
          <w:rFonts w:hint="eastAsia" w:ascii="宋体" w:hAnsi="宋体" w:eastAsia="宋体" w:cs="宋体"/>
          <w:sz w:val="24"/>
          <w:szCs w:val="24"/>
          <w:vertAlign w:val="subscript"/>
        </w:rPr>
        <w:t xml:space="preserve">10</w:t>
      </w:r>
      <w:r>
        <w:rPr>
          <w:rFonts w:hint="eastAsia" w:ascii="宋体" w:hAnsi="宋体" w:eastAsia="宋体" w:cs="宋体"/>
          <w:sz w:val="24"/>
          <w:szCs w:val="24"/>
        </w:rPr>
        <w:t xml:space="preserve">等预警阈值</w:t>
      </w:r>
      <w:bookmarkStart w:id="207" w:name="OLE_LINK38"/>
      <w:r>
        <w:rPr>
          <w:rFonts w:hint="eastAsia" w:ascii="宋体" w:hAnsi="宋体" w:eastAsia="宋体" w:cs="宋体"/>
          <w:sz w:val="24"/>
          <w:szCs w:val="24"/>
        </w:rPr>
        <w:t xml:space="preserve">数据分析，结合现场实际环境、区域管控标准及常态化管理需求，</w:t>
      </w:r>
      <w:bookmarkEnd w:id="207"/>
      <w:r>
        <w:rPr>
          <w:rFonts w:hint="eastAsia" w:ascii="宋体" w:hAnsi="宋体" w:eastAsia="宋体" w:cs="宋体"/>
          <w:sz w:val="24"/>
          <w:szCs w:val="24"/>
        </w:rPr>
        <w:t xml:space="preserve">通过系统化数据分析、数学建模，构建适配本地场景的阈值判定标准。</w:t>
      </w:r>
      <w:r>
        <w:rPr>
          <w:rFonts w:hint="eastAsia" w:ascii="宋体" w:hAnsi="宋体" w:eastAsia="宋体" w:cs="宋体"/>
          <w:b/>
          <w:bCs/>
          <w:sz w:val="24"/>
          <w:szCs w:val="24"/>
        </w:rPr>
        <w:t xml:space="preserve">（</w:t>
      </w:r>
      <w:r>
        <w:rPr>
          <w:rFonts w:hint="eastAsia" w:ascii="宋体" w:hAnsi="宋体" w:eastAsia="宋体" w:cs="宋体"/>
          <w:b/>
          <w:bCs/>
          <w:spacing w:val="-8"/>
          <w:sz w:val="24"/>
          <w:szCs w:val="24"/>
        </w:rPr>
        <w:t xml:space="preserve">提供数据分析截图，扫描上传</w:t>
      </w:r>
      <w:r>
        <w:rPr>
          <w:rFonts w:hint="eastAsia" w:ascii="宋体" w:hAnsi="宋体" w:eastAsia="宋体" w:cs="宋体"/>
          <w:b/>
          <w:bCs/>
          <w:sz w:val="24"/>
          <w:szCs w:val="24"/>
        </w:rPr>
        <w:t xml:space="preserve">）</w:t>
      </w:r>
      <w:bookmarkEnd w:id="206"/>
      <w:r/>
      <w:r/>
    </w:p>
    <w:p>
      <w:pPr>
        <w:pStyle w:val="765"/>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园区空气微站TVOC预警阈值进行数据分析优化，结合现场实际环境、区域管控标准及常态化管理需求，通过系统化数据分析、数学建模，构建适配本地场景的阈值判定标准。</w:t>
      </w:r>
      <w:r>
        <w:rPr>
          <w:rFonts w:hint="eastAsia" w:ascii="宋体" w:hAnsi="宋体" w:eastAsia="宋体" w:cs="宋体"/>
          <w:b/>
          <w:bCs/>
          <w:sz w:val="24"/>
          <w:szCs w:val="24"/>
        </w:rPr>
        <w:t xml:space="preserve">（</w:t>
      </w:r>
      <w:r>
        <w:rPr>
          <w:rFonts w:hint="eastAsia" w:ascii="宋体" w:hAnsi="宋体" w:eastAsia="宋体" w:cs="宋体"/>
          <w:b/>
          <w:bCs/>
          <w:spacing w:val="-8"/>
          <w:sz w:val="24"/>
          <w:szCs w:val="24"/>
        </w:rPr>
        <w:t xml:space="preserve">提供数据分析截图，扫描上传</w:t>
      </w:r>
      <w:r>
        <w:rPr>
          <w:rFonts w:hint="eastAsia" w:ascii="宋体" w:hAnsi="宋体" w:eastAsia="宋体" w:cs="宋体"/>
          <w:b/>
          <w:bCs/>
          <w:sz w:val="24"/>
          <w:szCs w:val="24"/>
        </w:rPr>
        <w:t xml:space="preserve">）</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开发定时任务，根据动态阈值滑动设置，满足不同时段、不同季节的日常管理需要，每月初自动更新生效，减少人工操作与重复设置。</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完善报警功能与消息推送流程，确保相关人员能够及时接收信息，提高响应效率。</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 </w:t>
      </w:r>
      <w:r>
        <w:rPr>
          <w:rFonts w:hint="eastAsia" w:ascii="宋体" w:hAnsi="宋体" w:eastAsia="宋体" w:cs="宋体"/>
          <w:b w:val="0"/>
          <w:bCs w:val="0"/>
          <w:sz w:val="24"/>
          <w:szCs w:val="24"/>
          <w:lang w:val="en-US" w:eastAsia="zh-CN"/>
        </w:rPr>
        <w:t xml:space="preserve">化工</w:t>
      </w:r>
      <w:r>
        <w:rPr>
          <w:rFonts w:hint="eastAsia" w:ascii="宋体" w:hAnsi="宋体" w:eastAsia="宋体" w:cs="宋体"/>
          <w:b w:val="0"/>
          <w:bCs w:val="0"/>
          <w:sz w:val="24"/>
          <w:szCs w:val="24"/>
        </w:rPr>
        <w:t xml:space="preserve">园区报警闭环体系优化</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优化报警处理流程，减少重复工作，提高整体处置效率。</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优化报警流程，区分企业报警与</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园区报警，引入第三方运维单位协同处理，</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园区审核后形成完整闭环。</w:t>
      </w:r>
      <w:r/>
    </w:p>
    <w:p>
      <w:pPr>
        <w:pStyle w:val="765"/>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sz w:val="24"/>
          <w:szCs w:val="24"/>
        </w:rPr>
        <w:t xml:space="preserve">★优化离线报警显示方式，依托设备在线状态动态感知机制，实现设备离线异常的自</w:t>
      </w:r>
      <w:r>
        <w:rPr>
          <w:rFonts w:hint="eastAsia" w:ascii="宋体" w:hAnsi="宋体" w:eastAsia="宋体" w:cs="宋体"/>
          <w:color w:val="auto"/>
          <w:sz w:val="24"/>
          <w:szCs w:val="24"/>
        </w:rPr>
        <w:t xml:space="preserve">动识别、智能判定、精准匹配，构建离线异常报警智能闭环处置功能。</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对接省厅末端监控系统，实现报警处置数据回流，完成报警闭环管理，确保信息可追溯。</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2.4 数据研判提前预警</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细化报警相关规则，提高数据异常识别能力。</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优化超标、恒值、异常值等报警规则配置，参考省厅非现场监管要求开展数据研判工作，提升监管精准度。</w:t>
      </w:r>
      <w:bookmarkStart w:id="208" w:name="OLE_LINK24"/>
      <w:r/>
      <w:bookmarkEnd w:id="208"/>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增加污染物排放浓度超标数据研判功能，及时发现异常情况并做好记录。</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离线报警在设备恢复正常后自动闭环，简化操作步骤，提升系统自动化程度。</w:t>
      </w:r>
      <w:r/>
    </w:p>
    <w:p>
      <w:pPr>
        <w:pStyle w:val="765"/>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★完善监测数据</w:t>
      </w:r>
      <w:bookmarkStart w:id="209" w:name="OLE_LINK39"/>
      <w:r>
        <w:rPr>
          <w:rFonts w:hint="eastAsia" w:ascii="宋体" w:hAnsi="宋体" w:eastAsia="宋体" w:cs="宋体"/>
          <w:color w:val="auto"/>
          <w:sz w:val="24"/>
          <w:szCs w:val="24"/>
        </w:rPr>
        <w:t xml:space="preserve">智能</w:t>
      </w:r>
      <w:bookmarkEnd w:id="209"/>
      <w:r>
        <w:rPr>
          <w:rFonts w:hint="eastAsia" w:ascii="宋体" w:hAnsi="宋体" w:eastAsia="宋体" w:cs="宋体"/>
          <w:color w:val="auto"/>
          <w:sz w:val="24"/>
          <w:szCs w:val="24"/>
        </w:rPr>
        <w:t xml:space="preserve">研判预警功能，拓展多元化数据异常判定逻辑体系，配套搭建标准化数据标注、异常数据筛查能力，覆盖恒值固化、零值异常、负数值偏差等各类非常规数据工况的智能识别与报警研判。</w:t>
      </w:r>
      <w:bookmarkStart w:id="210" w:name="OLE_LINK28"/>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bookmarkEnd w:id="210"/>
      <w:r/>
      <w:r/>
    </w:p>
    <w:p>
      <w:pPr>
        <w:ind w:firstLine="482"/>
        <w:keepLines w:val="0"/>
        <w:keepNext w:val="0"/>
        <w:pageBreakBefore w:val="0"/>
        <w:spacing w:line="400" w:lineRule="exact"/>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3、高值分析与溯源提升</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高值分析与溯源提升是</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园区污染精细化监管的重要支撑，通过整合多源监测数据、结合移动监测手段，辅助识别高值区域、分析污染来源，提升</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园区污染防控的针对性。</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3.1 多维数据关联分析模型</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整合多类监测数据，便于日常开展数据对比与分析工作。</w:t>
      </w:r>
      <w:r/>
    </w:p>
    <w:p>
      <w:pPr>
        <w:pStyle w:val="765"/>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★支持在三维可视化大屏上融合展示</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园区微站等各类监测数据的动态化、立体化呈现。支持联动时间维度、气象环境维度数据，渲染监测浓度热力分布态势，直观呈现污染物动态演变趋势。</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整合企业废气排口、工况、厂界、</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园区微站、VOCs 站点等数据，实现关联查看、统一展示与对比分析。</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★通过模型分析 VOCs 高值结合微站等数据与企业排污、生产工况之间的关系，辅助开展高值溯源、原因排查等相关工作，为日常管理提供数据支撑。</w:t>
      </w:r>
      <w:bookmarkStart w:id="211" w:name="OLE_LINK25"/>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bookmarkEnd w:id="211"/>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3.2 移动 + 固定多维溯源分析</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结合移动监测与固定监测，提升高值区域识别与管理能力。</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bookmarkStart w:id="212" w:name="OLE_LINK47"/>
      <w:r/>
      <w:bookmarkStart w:id="213" w:name="OLE_LINK46"/>
      <w:r>
        <w:rPr>
          <w:rFonts w:hint="eastAsia" w:ascii="宋体" w:hAnsi="宋体" w:eastAsia="宋体" w:cs="宋体"/>
          <w:color w:val="auto"/>
          <w:sz w:val="24"/>
          <w:szCs w:val="24"/>
        </w:rPr>
        <w:t xml:space="preserve">支持走航车监测数据录入、轨迹查看、高值点显示与组分分析，丰富现场监测手段。</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★支持无人机监测数据录入，以热力图形式展示，便于直观查看高值分布情况</w:t>
      </w:r>
      <w:bookmarkEnd w:id="212"/>
      <w:r>
        <w:rPr>
          <w:rFonts w:hint="eastAsia" w:ascii="宋体" w:hAnsi="宋体" w:eastAsia="宋体" w:cs="宋体"/>
          <w:color w:val="auto"/>
          <w:sz w:val="24"/>
          <w:szCs w:val="24"/>
        </w:rPr>
        <w:t xml:space="preserve">。</w:t>
      </w:r>
      <w:bookmarkStart w:id="214" w:name="OLE_LINK26"/>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bookmarkEnd w:id="214"/>
      <w:r/>
      <w:bookmarkEnd w:id="213"/>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结合移动监测与固定监测数据，划分重点监管区域，提升管理针对性与有效性。</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根据相关单位报告，录入企业废气新特征污染物，完善</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园区因子库信息，便于统一管理。</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3.3 非现场工况监管能力提升</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加强储罐工况日常监管，提高异常情况识别与处理效率。</w:t>
      </w:r>
      <w:r/>
    </w:p>
    <w:p>
      <w:pPr>
        <w:pStyle w:val="765"/>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★搭建储罐作业工况智能化监控体系，整合储罐全时段作业运行数据，通过可视化时序展示、动态态势等多元展示形式，实现储罐作业工况智能作业分析与异常预判。</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能够对储罐液位、压力异常变动进行预警分析，动态配置阈值，可视化展示相关报警信息方便管理人员关注并处理。</w:t>
      </w:r>
      <w:bookmarkStart w:id="215" w:name="OLE_LINK29"/>
      <w:r/>
      <w:bookmarkEnd w:id="215"/>
      <w:r/>
      <w:r/>
    </w:p>
    <w:p>
      <w:pPr>
        <w:pStyle w:val="765"/>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★构建污染物减排动态管控功能，联动企业用电、储罐工况运行等多维数据，建立重污染天气减排预警响应与产能管控联动监管。</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实现高值关联企业储罐工况作业分析、关联出具体企业所涉物料，基于此数据分析及联动预警补强溯源能力，完善</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园区监管手段，提升管理水平。</w:t>
      </w:r>
      <w:r/>
    </w:p>
    <w:p>
      <w:pPr>
        <w:ind w:firstLine="482"/>
        <w:keepLines w:val="0"/>
        <w:keepNext w:val="0"/>
        <w:pageBreakBefore w:val="0"/>
        <w:spacing w:line="400" w:lineRule="exact"/>
        <w:widowControl w:val="off"/>
        <w:rPr>
          <w:rFonts w:hint="eastAsia" w:ascii="宋体" w:hAnsi="宋体" w:eastAsia="宋体" w:cs="宋体"/>
          <w:b/>
          <w:bCs/>
          <w:color w:val="auto"/>
          <w:sz w:val="24"/>
          <w:szCs w:val="24"/>
        </w:rPr>
        <w:outlineLvl w:val="1"/>
      </w:pPr>
      <w:r/>
      <w:bookmarkStart w:id="216" w:name="OLE_LINK48"/>
      <w:r>
        <w:rPr>
          <w:rFonts w:hint="eastAsia" w:ascii="宋体" w:hAnsi="宋体" w:eastAsia="宋体" w:cs="宋体"/>
          <w:b/>
          <w:bCs/>
          <w:color w:val="auto"/>
          <w:sz w:val="24"/>
          <w:szCs w:val="24"/>
        </w:rPr>
        <w:t xml:space="preserve">4、信息传输能力建设</w:t>
      </w:r>
      <w:bookmarkEnd w:id="216"/>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信息传输能力建设是</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园区环境数据与上级监管部门对接的关键保障，通过规范数据接口、优化传输流程，确保</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园区环境数据及时、准确上传，满足各级监管部门的数据共享与监管要求。</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4.1 报警信息传输仪征市局</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实现</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园区与仪征市局数据共享，方便跨部门查看与监管。</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向政务系统共享数据接口，包括水环境质量、大气环境质量等相关数据，确保数据对接规范。</w:t>
      </w:r>
      <w:r/>
    </w:p>
    <w:p>
      <w:pPr>
        <w:pStyle w:val="765"/>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★搭建标准化、开放式数据共享服务体系，整合环境数据监测、工况等各类业务数据资源，完善数据自动化采集、规范化治理、资源编目、对外开放订阅核心能力。</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8"/>
          <w:sz w:val="24"/>
          <w:szCs w:val="24"/>
        </w:rPr>
        <w:t xml:space="preserve">提供功能界面截图，扫描上传</w:t>
      </w:r>
      <w:r>
        <w:rPr>
          <w:rFonts w:hint="eastAsia" w:ascii="宋体" w:hAnsi="宋体" w:eastAsia="宋体" w:cs="宋体"/>
          <w:b/>
          <w:bCs/>
          <w:color w:val="auto"/>
          <w:sz w:val="24"/>
          <w:szCs w:val="24"/>
        </w:rPr>
        <w:t xml:space="preserve">）</w:t>
      </w:r>
      <w:r/>
    </w:p>
    <w:p>
      <w:pPr>
        <w:pStyle w:val="765"/>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开通企业废水、废气、雨水等污染源报警数据同步端口，保障数据及时同步。</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为仪征市局开通账号、分配权限，方便相关人员进行数据调阅、查询与查看。</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4.2 省厅监管系统传输上传</w:t>
      </w:r>
      <w:r/>
    </w:p>
    <w:p>
      <w:pPr>
        <w:pStyle w:val="765"/>
        <w:ind w:firstLine="480"/>
        <w:keepLines w:val="0"/>
        <w:keepNext w:val="0"/>
        <w:pageBreakBefore w:val="0"/>
        <w:spacing w:after="0" w:line="400" w:lineRule="exact"/>
        <w:widowControl w:val="off"/>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按照规范要求完善数据内容，保证数据正常上传至省厅系统。</w:t>
      </w:r>
      <w:r/>
    </w:p>
    <w:p>
      <w:pPr>
        <w:pStyle w:val="765"/>
        <w:ind w:firstLine="480"/>
        <w:keepLines w:val="0"/>
        <w:keepNext w:val="0"/>
        <w:pageBreakBefore w:val="0"/>
        <w:spacing w:after="0" w:line="400" w:lineRule="exact"/>
        <w:widowControl w:val="off"/>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按照《DB32/T 4709-2024》Ⅰ 类工业园区要求补充周边环境敏感点、生态管控区等信息，对接污水厂刷卡排污总量，完善固废处置信息等相关缺项，确保符合建设标准与检查要求。</w:t>
      </w:r>
      <w:r/>
    </w:p>
    <w:p>
      <w:pPr>
        <w:pStyle w:val="765"/>
        <w:ind w:firstLine="480"/>
        <w:keepLines w:val="0"/>
        <w:keepNext w:val="0"/>
        <w:pageBreakBefore w:val="0"/>
        <w:spacing w:after="0" w:line="400" w:lineRule="exact"/>
        <w:widowControl w:val="off"/>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接入政务资源网络，录入化工园区基础档案、环境风险、特征污染物、LDAR 等数据，实时上传空气站、VOCs 等监测数据。</w:t>
      </w:r>
      <w:r/>
    </w:p>
    <w:p>
      <w:pPr>
        <w:pStyle w:val="945"/>
        <w:ind w:firstLine="480"/>
        <w:keepLines w:val="0"/>
        <w:keepNext w:val="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4.3 末端监控报警传输回流</w:t>
      </w:r>
      <w:r/>
    </w:p>
    <w:p>
      <w:pPr>
        <w:pStyle w:val="765"/>
        <w:ind w:firstLine="480"/>
        <w:keepLines w:val="0"/>
        <w:keepNext w:val="0"/>
        <w:pageBreakBefore w:val="0"/>
        <w:spacing w:after="0" w:line="400" w:lineRule="exact"/>
        <w:widowControl w:val="off"/>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打通与扬州市局数据通道，实现报警数据回流与闭环管理。</w:t>
      </w:r>
      <w:r/>
    </w:p>
    <w:p>
      <w:pPr>
        <w:pStyle w:val="765"/>
        <w:ind w:firstLine="480"/>
        <w:keepLines w:val="0"/>
        <w:keepNext w:val="0"/>
        <w:pageBreakBefore w:val="0"/>
        <w:spacing w:after="0" w:line="400" w:lineRule="exact"/>
        <w:widowControl w:val="off"/>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申请与扬州市局网络连通，开发数据回流采集程序，保障数据正常回流、稳定接收。</w:t>
      </w:r>
      <w:r/>
    </w:p>
    <w:p>
      <w:pPr>
        <w:pStyle w:val="765"/>
        <w:ind w:firstLine="480"/>
        <w:keepLines w:val="0"/>
        <w:keepNext w:val="0"/>
        <w:pageBreakBefore w:val="0"/>
        <w:spacing w:after="0" w:line="400" w:lineRule="exact"/>
        <w:widowControl w:val="off"/>
        <w:rPr>
          <w:rFonts w:hint="eastAsia" w:ascii="宋体" w:hAnsi="宋体" w:eastAsia="宋体" w:cs="宋体"/>
          <w:bCs/>
          <w:iCs/>
          <w:color w:val="auto"/>
          <w:sz w:val="24"/>
          <w:szCs w:val="24"/>
          <w:lang w:val="en-US" w:eastAsia="zh-CN" w:bidi="ar-SA"/>
        </w:rPr>
      </w:pPr>
      <w:r>
        <w:rPr>
          <w:rFonts w:hint="eastAsia" w:ascii="宋体" w:hAnsi="宋体" w:eastAsia="宋体" w:cs="宋体"/>
          <w:bCs/>
          <w:iCs/>
          <w:color w:val="auto"/>
          <w:sz w:val="24"/>
          <w:szCs w:val="24"/>
          <w:lang w:val="en-US" w:eastAsia="zh-CN" w:bidi="ar-SA"/>
        </w:rPr>
        <w:t xml:space="preserve">回流数据入库后匹配对应企业、时间、排口报警信息，同步处置结果形成闭环，减轻企业日常工作量与填报负担。</w:t>
      </w:r>
      <w:r/>
    </w:p>
    <w:p>
      <w:pPr>
        <w:pStyle w:val="763"/>
      </w:pPr>
      <w:r/>
      <w:r/>
    </w:p>
    <w:p>
      <w:pPr>
        <w:pStyle w:val="803"/>
        <w:ind w:left="0" w:firstLine="0"/>
        <w:keepLines w:val="0"/>
        <w:keepNext w:val="0"/>
        <w:pageBreakBefore w:val="0"/>
        <w:spacing w:line="400" w:lineRule="exact"/>
        <w:widowControl w:val="off"/>
        <w:rPr>
          <w:b/>
          <w:bCs/>
          <w:sz w:val="24"/>
          <w:szCs w:val="24"/>
        </w:rPr>
        <w:outlineLvl w:val="0"/>
      </w:pPr>
      <w:r/>
      <w:bookmarkStart w:id="217" w:name="OLE_LINK8"/>
      <w:r>
        <w:rPr>
          <w:rFonts w:hint="eastAsia" w:ascii="宋体" w:hAnsi="宋体" w:eastAsia="宋体" w:cs="Times New Roman"/>
          <w:b/>
          <w:bCs w:val="0"/>
          <w:color w:val="000000"/>
          <w:sz w:val="24"/>
          <w:szCs w:val="24"/>
          <w:lang w:val="en-US" w:eastAsia="zh-CN" w:bidi="ar-SA"/>
        </w:rPr>
        <w:t xml:space="preserve">四、</w:t>
      </w:r>
      <w:r>
        <w:rPr>
          <w:rFonts w:hint="eastAsia"/>
          <w:b/>
          <w:bCs/>
          <w:sz w:val="24"/>
          <w:szCs w:val="24"/>
        </w:rPr>
        <w:t xml:space="preserve">项目服务要求</w:t>
      </w:r>
      <w:r/>
    </w:p>
    <w:p>
      <w:pPr>
        <w:ind w:firstLine="480"/>
        <w:keepLines w:val="0"/>
        <w:keepNext w:val="0"/>
        <w:pageBreakBefore w:val="0"/>
        <w:spacing w:line="400" w:lineRule="exact"/>
        <w:widowControl w:val="off"/>
        <w:rPr>
          <w:rFonts w:ascii="宋体" w:hAnsi="宋体" w:cs="宋体"/>
          <w:b/>
          <w:bCs/>
          <w:i/>
          <w:sz w:val="24"/>
          <w:szCs w:val="24"/>
          <w:u w:val="single"/>
        </w:rPr>
      </w:pPr>
      <w:r>
        <w:rPr>
          <w:i/>
          <w:iCs/>
          <w:sz w:val="24"/>
          <w:szCs w:val="24"/>
          <w:u w:val="single"/>
        </w:rPr>
        <w:t xml:space="preserve">由采购人提出特定需求、中标人据此专门开发的定制化功能、模块、代码，其知识产权自完成并交付采购人时起，完全归属采购人所有。</w:t>
      </w:r>
      <w:r>
        <w:rPr>
          <w:b/>
          <w:bCs/>
          <w:i/>
          <w:iCs/>
          <w:sz w:val="24"/>
          <w:szCs w:val="24"/>
          <w:u w:val="single"/>
        </w:rPr>
        <w:t xml:space="preserve">（提供承诺函，原件扫描上传）</w:t>
      </w:r>
      <w:r>
        <w:rPr>
          <w:i/>
          <w:iCs/>
          <w:sz w:val="24"/>
          <w:szCs w:val="24"/>
          <w:u w:val="single"/>
        </w:rPr>
        <w:t xml:space="preserve">。</w:t>
      </w:r>
      <w:bookmarkEnd w:id="217"/>
      <w:r/>
      <w:r/>
    </w:p>
    <w:p>
      <w:pPr>
        <w:pStyle w:val="803"/>
        <w:ind w:left="0" w:firstLine="0"/>
        <w:keepLines w:val="0"/>
        <w:keepNext w:val="0"/>
        <w:pageBreakBefore w:val="0"/>
        <w:spacing w:line="400" w:lineRule="exact"/>
        <w:widowControl w:val="off"/>
        <w:rPr>
          <w:rFonts w:hint="eastAsia" w:ascii="宋体" w:hAnsi="宋体" w:eastAsia="宋体" w:cs="宋体"/>
          <w:b/>
          <w:bCs/>
          <w:sz w:val="24"/>
          <w:szCs w:val="24"/>
        </w:rPr>
        <w:outlineLvl w:val="0"/>
      </w:pPr>
      <w:r>
        <w:rPr>
          <w:rFonts w:hint="eastAsia" w:ascii="宋体" w:hAnsi="宋体" w:eastAsia="宋体" w:cs="宋体"/>
          <w:b/>
          <w:bCs w:val="0"/>
          <w:color w:val="000000"/>
          <w:sz w:val="24"/>
          <w:szCs w:val="24"/>
          <w:lang w:val="en-US" w:eastAsia="zh-CN" w:bidi="ar-SA"/>
        </w:rPr>
        <w:t xml:space="preserve">五、</w:t>
      </w:r>
      <w:r>
        <w:rPr>
          <w:rFonts w:hint="eastAsia" w:ascii="宋体" w:hAnsi="宋体" w:eastAsia="宋体" w:cs="宋体"/>
          <w:b/>
          <w:bCs/>
          <w:sz w:val="24"/>
          <w:szCs w:val="24"/>
        </w:rPr>
        <w:t xml:space="preserve">项目建设方案</w:t>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1、项目需求分析方案</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要求各投标人遵照本采购需求的相关条款，能够较为全面、系统地完成需求背景，理解相关各项工作，该工作将作为投标响应有效性、方案设计合理性、项目实施可行性的核心前提和重要考核依据。投标人需充分结合本采购需求明确的各项要点，把握本次</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园区环境管理系统提升的核心定位、总体目标及各项采购要求，确保提交的投标响应方案全面贴合采购需求、严格符合上级监管标准、具备极强的可落地性和可操作性，能够切实解决</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园区现有环境管理系统存在的问题。具体需求分析方案可从以下几大方面展开陈述：</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（1）现状及问题分析</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需明确知晓并充分理解，现有环境管理信息系统作为智慧园区整体系统的重要组成部分，经过前期建设与运行，虽已初步实现监测监控基础能力建设、各类环境数据的全面接入及超标报警的闭环处置等基础功能，在一定程度上提升了</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园区环境管理的效率和精细化水平，但结合</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管理工作的实际需求、上级监管的严格要求以及系统长期运行的实际情况来看，该系统仍存在诸多亟待提升改造的问题。投标人需严格按照本采购需求的具体要求，对相关问题进行分析，确保问题分析与梳理贴合</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园区实际情况，为后续系统提升方案的设计、技术路线的选择、实施计划的制定提供坚实、可靠的依据。</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（2）需求理解与问题解决</w:t>
      </w:r>
      <w:r/>
    </w:p>
    <w:p>
      <w:pPr>
        <w:pStyle w:val="765"/>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在现状调研基础上投标人需紧紧围绕本次建管用提升的需求进行分析与理解，需求主要来源两大方面，一方面为针对</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园区现有问题做定向的提升需要如监测监控能力提升、溯源预警能力提供、运维质控质量提升等；另一方面根据上级《江苏省化工园区认定工作标准(2025版)》（苏工信规〔2025〕6号）与《DB32/T 4709-2024 工业园区生态环境管理信息系统建设指南》中 Ⅰ 类园区各项具体规定、仪征市局共享数据等诉求对需求逐项分解并制定具体、可行、可落地的解决方案，全方位补齐系统现存短板，迭代优化平台综合性能，兼顾</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园区日常管控与上级监管双重诉求。。</w:t>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2、项目技术架构方案</w:t>
      </w:r>
      <w:r/>
    </w:p>
    <w:p>
      <w:pPr>
        <w:pStyle w:val="765"/>
        <w:ind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投标人基于</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现有信息化建设基础与本次系统提质升级的核心需求，统筹推进环保系统平台“建管用”一体化体系搭建，采用成熟、轻量化、安全可控的技术路线，形成完整的项目技术架构方案设计。技术架构设计严格恪守统筹规范、集约高效、互通共享、安全稳定等核心设计原则，主要设计内容需包含总体框架设计与网络架构设计。</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218" w:name="OLE_LINK33"/>
      <w:r>
        <w:rPr>
          <w:rFonts w:hint="eastAsia" w:ascii="宋体" w:hAnsi="宋体" w:eastAsia="宋体" w:cs="宋体"/>
          <w:sz w:val="24"/>
          <w:szCs w:val="24"/>
        </w:rPr>
        <w:t xml:space="preserve">在总体架构设计层面，投标人需搭建层级清晰、权责分明、耦合度低的多层级分布式架构，架构层级至少应包含物联设施层、数据传输存储层、平台应用层、可视化展示层。投标人方案中需明确各层级技术实现方式、模块设计规范与落地实施标准，保障架构可无缝适配</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园区现有软硬件资源，各层设计要求如下：</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（1）物联设施层作为底层基础，整合</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园区各类监测设备数据、储企业监测设备等硬件资源，完成前端原始数据全方位采集。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（2）数据传输存储层完成数据接入、质控研判、分类存储，保障数据完整可用。</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（3）平台应用层集成数据分析、模型分析、规则引擎配置等核心数据业务支撑功能，全方位满足</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园区环境管理升级需求.</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（4）展示层依托</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园区现有大屏、电脑客户端等载体，实现业务数据可视化呈现并支持多角色用户使用。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在网络架构设计方面，需基于</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现有网络结构、硬件设备及安全防护体系进行合理化适配设计，杜绝重复建设，最大化盘活现有资源。科学划分网络访问区域，规划内外网交互通道，保障本系统能够与市级监管平台、省级生态环境智慧监管平台实现网络层面双向网络地址互联互通、业务联动支撑对接。除此之外，结合大数据管理部门对政务网使用要求需注意安全及权限的多维管控，保障系统长期稳定运行，确保所有业务网络合规化打通。</w:t>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3、数据传输交互方案</w:t>
      </w:r>
      <w:r/>
    </w:p>
    <w:p>
      <w:pPr>
        <w:pStyle w:val="769"/>
        <w:ind w:left="0" w:firstLine="480"/>
        <w:keepLines w:val="0"/>
        <w:keepNext w:val="0"/>
        <w:pageBreakBefore w:val="0"/>
        <w:spacing w:after="0" w:line="400" w:lineRule="exact"/>
        <w:widowControl w:val="off"/>
        <w:rPr>
          <w:rFonts w:hint="eastAsia" w:ascii="宋体" w:hAnsi="宋体" w:eastAsia="宋体" w:cs="宋体"/>
          <w:sz w:val="24"/>
          <w:szCs w:val="24"/>
        </w:rPr>
      </w:pPr>
      <w:r/>
      <w:bookmarkStart w:id="219" w:name="OLE_LINK49"/>
      <w:r>
        <w:rPr>
          <w:rFonts w:hint="eastAsia" w:ascii="宋体" w:hAnsi="宋体" w:eastAsia="宋体" w:cs="宋体"/>
          <w:sz w:val="24"/>
          <w:szCs w:val="24"/>
        </w:rPr>
        <w:t xml:space="preserve">投标人需制定规范化、全链路的数据采集传输与交互实施方案，统筹统筹全域环境类监测数据资源，明确数据来源、采集模式及传输标准。本项目数据来源主要涵盖</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园区微型空气监测站、特征因子监测站点、企业储罐作业工况、污染源排口监测设备以及气象感知设备等，覆盖空气质量因子、特征因子、企业生产工况、运维台账等多元化业务数据。</w:t>
      </w:r>
      <w:r/>
    </w:p>
    <w:p>
      <w:pPr>
        <w:pStyle w:val="769"/>
        <w:ind w:left="0"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中需体现针对不同类型数据源，采用差异化采集方式，依托物联网接入协议，通过主动轮询、被动上报、定时抓取相结合的模式，完成前端设备原始数据实时采集，并在采集后对相关数据开展异常数据过滤、重复数据剔除、运维数据标注等内容，从源头提升入库数据质量。</w:t>
      </w:r>
      <w:bookmarkEnd w:id="219"/>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4、平台融合设计方案</w:t>
      </w:r>
      <w:bookmarkEnd w:id="218"/>
      <w:r/>
      <w:r/>
    </w:p>
    <w:p>
      <w:pPr>
        <w:pStyle w:val="765"/>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投标人以 “建标准、管数据、用效能” 为核心，在现有环境管理系统上进行功能扩展与能力升级，不重复建设基础设施，充分利旧服务器、网络、地图底图等资源。坚持成熟稳定、安全可控、集约高效、标准对接等原则，全面兼容</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园区现有软硬件环境，支持平滑升级、无缝扩展，针对</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园区现有智慧园区大平台、环境管理信息系统、数据中台、智慧安监平台开展一体化融合提升。</w:t>
      </w:r>
      <w:r/>
    </w:p>
    <w:p>
      <w:pPr>
        <w:pStyle w:val="765"/>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内部平台融合方面，方案需立足各存量平台现有架构与功能体系，通过标准化接口适配、数据规范统一、业务模块对接的方式，打通内部各平台数据壁垒与业务孤岛，实现监测数据、监管台账、运维信息、安全工况等资源的内部双向流通与统一汇聚，构建</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园区内部一体化、可联动、可共享的智慧监管底座，最大限度复用现有信息化建设成果，避免重复建设。</w:t>
      </w:r>
      <w:r/>
    </w:p>
    <w:p>
      <w:pPr>
        <w:pStyle w:val="765"/>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省市级平台融合对接层面，方案严格对照园区生态环境复核认定相关标准要求，落实多级平台互联互通建设要求，保障各类上报数据完整率达标，确保数据上传质量稳定可靠；同步对接扬州市级平台，合规获取市级报警数据回流，有效减少企业重复填报工作量。同时完成与仪征市生态环境局的跨部门数据共享联动，实现报警信息、监管数据、处置台账互通共用，构建内外协同、上下贯通的融合监管体系，全面提升</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园区环境综合监管与协同处置能力。</w:t>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5、业务功能设计方案</w:t>
      </w:r>
      <w:r/>
    </w:p>
    <w:p>
      <w:pPr>
        <w:pStyle w:val="763"/>
        <w:ind w:firstLine="480"/>
        <w:jc w:val="both"/>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投标人紧密围绕监测监控能力提升、运维质控与报警升级、高值分析与溯源提升、信息传输能力建设四大核心模块，采用模块化、低耦合、可扩展的设计思路，充分适配</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园区应急办现有机房、服务器、网络等基础资源，确保各模块独立运行、协同联动，既满足当前</w:t>
      </w:r>
      <w:r>
        <w:rPr>
          <w:rFonts w:hint="eastAsia" w:ascii="宋体" w:hAnsi="宋体" w:eastAsia="宋体" w:cs="宋体"/>
          <w:color w:val="auto"/>
          <w:sz w:val="24"/>
          <w:szCs w:val="24"/>
          <w:lang w:val="en-US" w:eastAsia="zh-CN"/>
        </w:rPr>
        <w:t xml:space="preserve">化工</w:t>
      </w:r>
      <w:r>
        <w:rPr>
          <w:rFonts w:hint="eastAsia" w:ascii="宋体" w:hAnsi="宋体" w:eastAsia="宋体" w:cs="宋体"/>
          <w:color w:val="auto"/>
          <w:sz w:val="24"/>
          <w:szCs w:val="24"/>
        </w:rPr>
        <w:t xml:space="preserve">园区环境管理系统“建管用”一体化提升需求，又为后续功能升级、需求拓展预留充足空间，全面贴合省、市生态环境部门监管要求。</w:t>
      </w:r>
      <w:r/>
    </w:p>
    <w:p>
      <w:pPr>
        <w:pStyle w:val="763"/>
        <w:ind w:firstLine="480"/>
        <w:jc w:val="both"/>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需根据技术要求中提及的具体要求进行软件功能设计，设计涉及四大功能核心功能模块与十三项主要功能设计，按照建设清单中相关条目进行功能方案设计、实施及成效设计，设计方案需详细严谨且前后呼应。</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6"/>
        <w:gridCol w:w="5633"/>
      </w:tblGrid>
      <w:tr>
        <w:trPr>
          <w:jc w:val="center"/>
          <w:trHeight w:val="458"/>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序号</w:t>
            </w:r>
            <w:r/>
          </w:p>
        </w:tc>
        <w:tc>
          <w:tcPr>
            <w:tcW w:w="2126"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功能模块</w:t>
            </w:r>
            <w:r/>
          </w:p>
        </w:tc>
        <w:tc>
          <w:tcPr>
            <w:tcW w:w="5633"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功能设计要求</w:t>
            </w:r>
            <w:r/>
          </w:p>
        </w:tc>
      </w:tr>
      <w:tr>
        <w:trPr>
          <w:jc w:val="center"/>
          <w:trHeight w:val="1523"/>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w:t>
            </w:r>
            <w:r/>
          </w:p>
        </w:tc>
        <w:tc>
          <w:tcPr>
            <w:tcW w:w="2126" w:type="dxa"/>
            <w:vAlign w:val="center"/>
            <w:vMerge w:val="restart"/>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监测监控能力提升</w:t>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hint="eastAsia" w:ascii="Times New Roman" w:hAnsi="Times New Roman"/>
                <w:sz w:val="24"/>
                <w:szCs w:val="24"/>
              </w:rPr>
              <w:t xml:space="preserve">新增</w:t>
            </w:r>
            <w:r>
              <w:rPr>
                <w:rFonts w:ascii="Times New Roman" w:hAnsi="Times New Roman"/>
                <w:sz w:val="24"/>
                <w:szCs w:val="24"/>
              </w:rPr>
              <w:t xml:space="preserve">特征因子站接入：支持VOCs 特征因子实时采集</w:t>
            </w:r>
            <w:r>
              <w:rPr>
                <w:rFonts w:hint="eastAsia" w:ascii="Times New Roman" w:hAnsi="Times New Roman"/>
                <w:sz w:val="24"/>
                <w:szCs w:val="24"/>
              </w:rPr>
              <w:t xml:space="preserve">，具备相关多站点数据分析等能力</w:t>
            </w:r>
            <w:r>
              <w:rPr>
                <w:rFonts w:ascii="Times New Roman" w:hAnsi="Times New Roman"/>
                <w:sz w:val="24"/>
                <w:szCs w:val="24"/>
              </w:rPr>
              <w:t xml:space="preserve">。</w:t>
            </w:r>
            <w:r/>
          </w:p>
        </w:tc>
      </w:tr>
      <w:tr>
        <w:trPr>
          <w:jc w:val="center"/>
          <w:trHeight w:val="1523"/>
        </w:trPr>
        <w:tc>
          <w:tcPr>
            <w:tcW w:w="958" w:type="dxa"/>
            <w:vAlign w:val="center"/>
            <w:textDirection w:val="lrTb"/>
            <w:noWrap w:val="false"/>
          </w:tcPr>
          <w:p>
            <w:pPr>
              <w:pStyle w:val="788"/>
              <w:ind w:left="0" w:firstLine="0"/>
              <w:jc w:val="center"/>
              <w:spacing w:after="0" w:line="360" w:lineRule="exact"/>
              <w:rPr>
                <w:rFonts w:ascii="Times New Roman" w:hAnsi="Times New Roman"/>
                <w:sz w:val="24"/>
                <w:szCs w:val="24"/>
              </w:rPr>
            </w:pPr>
            <w:r>
              <w:rPr>
                <w:rFonts w:hint="eastAsia" w:ascii="Times New Roman" w:hAnsi="Times New Roman" w:eastAsia="宋体"/>
                <w:sz w:val="24"/>
                <w:szCs w:val="24"/>
                <w:lang w:val="en-US" w:eastAsia="zh-CN"/>
              </w:rPr>
              <w:t xml:space="preserve">2</w:t>
            </w:r>
            <w:r/>
          </w:p>
        </w:tc>
        <w:tc>
          <w:tcPr>
            <w:tcW w:w="2126" w:type="dxa"/>
            <w:vAlign w:val="center"/>
            <w:vMerge w:val="continue"/>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LDAR 实时</w:t>
            </w:r>
            <w:r>
              <w:rPr>
                <w:rFonts w:hint="eastAsia" w:ascii="Times New Roman" w:hAnsi="Times New Roman"/>
                <w:sz w:val="24"/>
                <w:szCs w:val="24"/>
              </w:rPr>
              <w:t xml:space="preserve">监测接入</w:t>
            </w:r>
            <w:r>
              <w:rPr>
                <w:rFonts w:ascii="Times New Roman" w:hAnsi="Times New Roman"/>
                <w:sz w:val="24"/>
                <w:szCs w:val="24"/>
              </w:rPr>
              <w:t xml:space="preserve">：支持</w:t>
            </w:r>
            <w:r>
              <w:rPr>
                <w:rFonts w:hint="eastAsia" w:ascii="Times New Roman" w:hAnsi="Times New Roman"/>
                <w:sz w:val="24"/>
                <w:szCs w:val="24"/>
              </w:rPr>
              <w:t xml:space="preserve">设备端数据实时接入</w:t>
            </w:r>
            <w:r>
              <w:rPr>
                <w:rFonts w:ascii="Times New Roman" w:hAnsi="Times New Roman"/>
                <w:sz w:val="24"/>
                <w:szCs w:val="24"/>
              </w:rPr>
              <w:t xml:space="preserve">、密封点数据</w:t>
            </w:r>
            <w:r>
              <w:rPr>
                <w:rFonts w:hint="eastAsia" w:ascii="Times New Roman" w:hAnsi="Times New Roman"/>
                <w:sz w:val="24"/>
                <w:szCs w:val="24"/>
              </w:rPr>
              <w:t xml:space="preserve">导入</w:t>
            </w:r>
            <w:r>
              <w:rPr>
                <w:rFonts w:ascii="Times New Roman" w:hAnsi="Times New Roman"/>
                <w:sz w:val="24"/>
                <w:szCs w:val="24"/>
              </w:rPr>
              <w:t xml:space="preserve">、泄露报警同步推送。</w:t>
            </w:r>
            <w:r/>
          </w:p>
        </w:tc>
      </w:tr>
      <w:tr>
        <w:trPr>
          <w:jc w:val="center"/>
          <w:trHeight w:val="1523"/>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3</w:t>
            </w:r>
            <w:r/>
          </w:p>
        </w:tc>
        <w:tc>
          <w:tcPr>
            <w:tcW w:w="2126" w:type="dxa"/>
            <w:vAlign w:val="center"/>
            <w:vMerge w:val="continue"/>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企业非现场工况</w:t>
            </w:r>
            <w:r>
              <w:rPr>
                <w:rFonts w:hint="eastAsia" w:ascii="Times New Roman" w:hAnsi="Times New Roman"/>
                <w:sz w:val="24"/>
                <w:szCs w:val="24"/>
              </w:rPr>
              <w:t xml:space="preserve">数据接入</w:t>
            </w:r>
            <w:r>
              <w:rPr>
                <w:rFonts w:ascii="Times New Roman" w:hAnsi="Times New Roman"/>
                <w:sz w:val="24"/>
                <w:szCs w:val="24"/>
              </w:rPr>
              <w:t xml:space="preserve">：对接仓储企业 DCS/PLC 系统，采集储罐液位、压力、温度、阀门</w:t>
            </w:r>
            <w:r>
              <w:rPr>
                <w:rFonts w:hint="eastAsia" w:ascii="Times New Roman" w:hAnsi="Times New Roman"/>
                <w:sz w:val="24"/>
                <w:szCs w:val="24"/>
              </w:rPr>
              <w:t xml:space="preserve">等</w:t>
            </w:r>
            <w:r>
              <w:rPr>
                <w:rFonts w:ascii="Times New Roman" w:hAnsi="Times New Roman"/>
                <w:sz w:val="24"/>
                <w:szCs w:val="24"/>
              </w:rPr>
              <w:t xml:space="preserve">状态。</w:t>
            </w:r>
            <w:r/>
          </w:p>
        </w:tc>
      </w:tr>
      <w:tr>
        <w:trPr>
          <w:jc w:val="center"/>
          <w:trHeight w:val="1692"/>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4</w:t>
            </w:r>
            <w:r/>
          </w:p>
        </w:tc>
        <w:tc>
          <w:tcPr>
            <w:tcW w:w="2126" w:type="dxa"/>
            <w:vAlign w:val="center"/>
            <w:vMerge w:val="restart"/>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运维质控与报警升级</w:t>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hint="eastAsia" w:ascii="Times New Roman" w:hAnsi="Times New Roman"/>
                <w:sz w:val="24"/>
                <w:szCs w:val="24"/>
              </w:rPr>
              <w:t xml:space="preserve">运维质控在线监管</w:t>
            </w:r>
            <w:r>
              <w:rPr>
                <w:rFonts w:ascii="Times New Roman" w:hAnsi="Times New Roman"/>
                <w:sz w:val="24"/>
                <w:szCs w:val="24"/>
              </w:rPr>
              <w:t xml:space="preserve">：搭建完善的第三方运维线上运维调度管理平台，支持运维计划制定、工单派发、现场运维填报</w:t>
            </w:r>
            <w:r>
              <w:rPr>
                <w:rFonts w:hint="eastAsia" w:ascii="Times New Roman" w:hAnsi="Times New Roman"/>
                <w:sz w:val="24"/>
                <w:szCs w:val="24"/>
              </w:rPr>
              <w:t xml:space="preserve">等功能</w:t>
            </w:r>
            <w:r>
              <w:rPr>
                <w:rFonts w:ascii="Times New Roman" w:hAnsi="Times New Roman"/>
                <w:sz w:val="24"/>
                <w:szCs w:val="24"/>
              </w:rPr>
              <w:t xml:space="preserve">。</w:t>
            </w:r>
            <w:r/>
          </w:p>
        </w:tc>
      </w:tr>
      <w:tr>
        <w:trPr>
          <w:jc w:val="center"/>
          <w:trHeight w:val="1692"/>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w:t>
            </w:r>
            <w:r/>
          </w:p>
        </w:tc>
        <w:tc>
          <w:tcPr>
            <w:tcW w:w="2126" w:type="dxa"/>
            <w:vAlign w:val="center"/>
            <w:vMerge w:val="continue"/>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预警阈值动态优化：</w:t>
            </w:r>
            <w:r>
              <w:rPr>
                <w:rFonts w:hint="eastAsia" w:ascii="Times New Roman" w:hAnsi="Times New Roman"/>
                <w:sz w:val="24"/>
                <w:szCs w:val="24"/>
              </w:rPr>
              <w:t xml:space="preserve">体现</w:t>
            </w:r>
            <w:r>
              <w:rPr>
                <w:rFonts w:ascii="Times New Roman" w:hAnsi="Times New Roman"/>
                <w:sz w:val="24"/>
                <w:szCs w:val="24"/>
              </w:rPr>
              <w:t xml:space="preserve">动态阈值配置</w:t>
            </w:r>
            <w:r>
              <w:rPr>
                <w:rFonts w:hint="eastAsia" w:ascii="Times New Roman" w:hAnsi="Times New Roman"/>
                <w:sz w:val="24"/>
                <w:szCs w:val="24"/>
              </w:rPr>
              <w:t xml:space="preserve">分析过程，</w:t>
            </w:r>
            <w:r>
              <w:rPr>
                <w:rFonts w:ascii="Times New Roman" w:hAnsi="Times New Roman"/>
                <w:sz w:val="24"/>
                <w:szCs w:val="24"/>
              </w:rPr>
              <w:t xml:space="preserve">系统支持</w:t>
            </w:r>
            <w:r>
              <w:rPr>
                <w:rFonts w:hint="eastAsia" w:ascii="Times New Roman" w:hAnsi="Times New Roman"/>
                <w:sz w:val="24"/>
                <w:szCs w:val="24"/>
              </w:rPr>
              <w:t xml:space="preserve">定时任务配置</w:t>
            </w:r>
            <w:r>
              <w:rPr>
                <w:rFonts w:ascii="Times New Roman" w:hAnsi="Times New Roman"/>
                <w:sz w:val="24"/>
                <w:szCs w:val="24"/>
              </w:rPr>
              <w:t xml:space="preserve">，与预警报警形成有效联动。</w:t>
            </w:r>
            <w:r/>
          </w:p>
        </w:tc>
      </w:tr>
      <w:tr>
        <w:trPr>
          <w:jc w:val="center"/>
          <w:trHeight w:val="1337"/>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6</w:t>
            </w:r>
            <w:r/>
          </w:p>
        </w:tc>
        <w:tc>
          <w:tcPr>
            <w:tcW w:w="2126" w:type="dxa"/>
            <w:vAlign w:val="center"/>
            <w:vMerge w:val="continue"/>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报警闭环体系优化：企业报警 / </w:t>
            </w:r>
            <w:r>
              <w:rPr>
                <w:rFonts w:hint="eastAsia" w:ascii="Times New Roman" w:hAnsi="Times New Roman"/>
                <w:sz w:val="24"/>
                <w:szCs w:val="24"/>
                <w:lang w:val="en-US" w:eastAsia="zh-CN"/>
              </w:rPr>
              <w:t xml:space="preserve">化工</w:t>
            </w:r>
            <w:r>
              <w:rPr>
                <w:rFonts w:ascii="Times New Roman" w:hAnsi="Times New Roman"/>
                <w:sz w:val="24"/>
                <w:szCs w:val="24"/>
              </w:rPr>
              <w:t xml:space="preserve">园区报警分级、</w:t>
            </w:r>
            <w:r>
              <w:rPr>
                <w:rFonts w:hint="eastAsia" w:ascii="Times New Roman" w:hAnsi="Times New Roman"/>
                <w:sz w:val="24"/>
                <w:szCs w:val="24"/>
              </w:rPr>
              <w:t xml:space="preserve">闭环流程优化提升</w:t>
            </w:r>
            <w:r>
              <w:rPr>
                <w:rFonts w:ascii="Times New Roman" w:hAnsi="Times New Roman"/>
                <w:sz w:val="24"/>
                <w:szCs w:val="24"/>
              </w:rPr>
              <w:t xml:space="preserve">。</w:t>
            </w:r>
            <w:r/>
          </w:p>
        </w:tc>
      </w:tr>
      <w:tr>
        <w:trPr>
          <w:jc w:val="center"/>
          <w:trHeight w:val="1692"/>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7</w:t>
            </w:r>
            <w:r/>
          </w:p>
        </w:tc>
        <w:tc>
          <w:tcPr>
            <w:tcW w:w="2126" w:type="dxa"/>
            <w:vAlign w:val="center"/>
            <w:vMerge w:val="continue"/>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数据研判提前预警：构建完善的数据研判规则配置，自动识别监测数据</w:t>
            </w:r>
            <w:r>
              <w:rPr>
                <w:rFonts w:hint="eastAsia" w:ascii="Times New Roman" w:hAnsi="Times New Roman"/>
                <w:sz w:val="24"/>
                <w:szCs w:val="24"/>
              </w:rPr>
              <w:t xml:space="preserve">异常</w:t>
            </w:r>
            <w:r>
              <w:rPr>
                <w:rFonts w:ascii="Times New Roman" w:hAnsi="Times New Roman"/>
                <w:sz w:val="24"/>
                <w:szCs w:val="24"/>
              </w:rPr>
              <w:t xml:space="preserve">，提前预判环境污染隐患。</w:t>
            </w:r>
            <w:r/>
          </w:p>
        </w:tc>
      </w:tr>
      <w:tr>
        <w:trPr>
          <w:jc w:val="center"/>
          <w:trHeight w:val="1692"/>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8</w:t>
            </w:r>
            <w:r/>
          </w:p>
        </w:tc>
        <w:tc>
          <w:tcPr>
            <w:tcW w:w="2126" w:type="dxa"/>
            <w:vAlign w:val="center"/>
            <w:vMerge w:val="restart"/>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高值分析与溯源提升</w:t>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多维数据关联模型：构建工况-排口-厂界-微站-VOCs站多维数据关联分析模型，</w:t>
            </w:r>
            <w:r>
              <w:rPr>
                <w:rFonts w:hint="eastAsia" w:ascii="Times New Roman" w:hAnsi="Times New Roman"/>
                <w:sz w:val="24"/>
                <w:szCs w:val="24"/>
              </w:rPr>
              <w:t xml:space="preserve">根据多维模型支持溯源精度提升</w:t>
            </w:r>
            <w:r>
              <w:rPr>
                <w:rFonts w:ascii="Times New Roman" w:hAnsi="Times New Roman"/>
                <w:sz w:val="24"/>
                <w:szCs w:val="24"/>
              </w:rPr>
              <w:t xml:space="preserve">。</w:t>
            </w:r>
            <w:r/>
          </w:p>
        </w:tc>
      </w:tr>
      <w:tr>
        <w:trPr>
          <w:jc w:val="center"/>
          <w:trHeight w:val="90"/>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9</w:t>
            </w:r>
            <w:r/>
          </w:p>
        </w:tc>
        <w:tc>
          <w:tcPr>
            <w:tcW w:w="2126" w:type="dxa"/>
            <w:vAlign w:val="center"/>
            <w:vMerge w:val="continue"/>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移动 + 固定多维溯源：走航轨迹、高值点、组分分析、无人机</w:t>
            </w:r>
            <w:r>
              <w:rPr>
                <w:rFonts w:hint="eastAsia" w:ascii="Times New Roman" w:hAnsi="Times New Roman"/>
                <w:sz w:val="24"/>
                <w:szCs w:val="24"/>
              </w:rPr>
              <w:t xml:space="preserve">巡航等数据集成</w:t>
            </w:r>
            <w:r>
              <w:rPr>
                <w:rFonts w:ascii="Times New Roman" w:hAnsi="Times New Roman"/>
                <w:sz w:val="24"/>
                <w:szCs w:val="24"/>
              </w:rPr>
              <w:t xml:space="preserve">。</w:t>
            </w:r>
            <w:r/>
          </w:p>
        </w:tc>
      </w:tr>
      <w:tr>
        <w:trPr>
          <w:jc w:val="center"/>
          <w:trHeight w:val="1357"/>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10</w:t>
            </w:r>
            <w:r/>
          </w:p>
        </w:tc>
        <w:tc>
          <w:tcPr>
            <w:tcW w:w="2126" w:type="dxa"/>
            <w:vAlign w:val="center"/>
            <w:vMerge w:val="continue"/>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非现场工况监管：储罐作业实时监控、液位 / 压力异常变动预警。</w:t>
            </w:r>
            <w:r/>
          </w:p>
        </w:tc>
      </w:tr>
      <w:tr>
        <w:trPr>
          <w:jc w:val="center"/>
          <w:trHeight w:val="1237"/>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11</w:t>
            </w:r>
            <w:r/>
          </w:p>
        </w:tc>
        <w:tc>
          <w:tcPr>
            <w:tcW w:w="2126" w:type="dxa"/>
            <w:vAlign w:val="center"/>
            <w:vMerge w:val="restart"/>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信息传输能力建设</w:t>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报警信息推送仪征市局：账号权限分配、数据接口共享、实时查看。</w:t>
            </w:r>
            <w:r/>
          </w:p>
        </w:tc>
      </w:tr>
      <w:tr>
        <w:trPr>
          <w:jc w:val="center"/>
          <w:trHeight w:val="1327"/>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12</w:t>
            </w:r>
            <w:r/>
          </w:p>
        </w:tc>
        <w:tc>
          <w:tcPr>
            <w:tcW w:w="2126" w:type="dxa"/>
            <w:vAlign w:val="center"/>
            <w:vMerge w:val="continue"/>
            <w:textDirection w:val="lrTb"/>
            <w:noWrap w:val="false"/>
          </w:tcPr>
          <w:p>
            <w:pPr>
              <w:pStyle w:val="788"/>
              <w:ind w:left="0" w:firstLine="0"/>
              <w:jc w:val="center"/>
              <w:spacing w:after="0" w:line="360" w:lineRule="exact"/>
              <w:rPr>
                <w:rFonts w:ascii="Times New Roman" w:hAnsi="Times New Roman"/>
                <w:sz w:val="24"/>
                <w:szCs w:val="24"/>
              </w:rPr>
            </w:pPr>
            <w:r>
              <w:rPr>
                <w:rFonts w:ascii="Times New Roman" w:hAnsi="Times New Roman"/>
                <w:sz w:val="24"/>
                <w:szCs w:val="24"/>
              </w:rPr>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省厅监管系统上传：一园一档、监测数据、LDAR、</w:t>
            </w:r>
            <w:r>
              <w:rPr>
                <w:rFonts w:hint="eastAsia" w:ascii="Times New Roman" w:hAnsi="Times New Roman"/>
                <w:sz w:val="24"/>
                <w:szCs w:val="24"/>
              </w:rPr>
              <w:t xml:space="preserve">等数据</w:t>
            </w:r>
            <w:r>
              <w:rPr>
                <w:rFonts w:ascii="Times New Roman" w:hAnsi="Times New Roman"/>
                <w:sz w:val="24"/>
                <w:szCs w:val="24"/>
              </w:rPr>
              <w:t xml:space="preserve">全量上传。</w:t>
            </w:r>
            <w:r/>
          </w:p>
        </w:tc>
      </w:tr>
      <w:tr>
        <w:trPr>
          <w:jc w:val="center"/>
          <w:trHeight w:val="1502"/>
        </w:trPr>
        <w:tc>
          <w:tcPr>
            <w:tcW w:w="958" w:type="dxa"/>
            <w:vAlign w:val="center"/>
            <w:textDirection w:val="lrTb"/>
            <w:noWrap w:val="false"/>
          </w:tcPr>
          <w:p>
            <w:pPr>
              <w:pStyle w:val="788"/>
              <w:ind w:left="0" w:firstLine="0"/>
              <w:jc w:val="center"/>
              <w:spacing w:after="0" w:line="36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13</w:t>
            </w:r>
            <w:r/>
          </w:p>
        </w:tc>
        <w:tc>
          <w:tcPr>
            <w:tcW w:w="2126" w:type="dxa"/>
            <w:vAlign w:val="center"/>
            <w:vMerge w:val="continue"/>
            <w:textDirection w:val="lrTb"/>
            <w:noWrap w:val="false"/>
          </w:tcPr>
          <w:p>
            <w:pPr>
              <w:pStyle w:val="788"/>
              <w:ind w:left="0" w:firstLine="0"/>
              <w:jc w:val="center"/>
              <w:spacing w:after="0" w:line="360" w:lineRule="exact"/>
              <w:rPr>
                <w:rFonts w:ascii="Times New Roman" w:hAnsi="Times New Roman"/>
                <w:sz w:val="24"/>
                <w:szCs w:val="24"/>
              </w:rPr>
            </w:pPr>
            <w:r>
              <w:rPr>
                <w:rFonts w:ascii="Times New Roman" w:hAnsi="Times New Roman"/>
                <w:sz w:val="24"/>
                <w:szCs w:val="24"/>
              </w:rPr>
            </w:r>
            <w:r/>
          </w:p>
        </w:tc>
        <w:tc>
          <w:tcPr>
            <w:tcW w:w="5633" w:type="dxa"/>
            <w:vAlign w:val="center"/>
            <w:textDirection w:val="lrTb"/>
            <w:noWrap w:val="false"/>
          </w:tcPr>
          <w:p>
            <w:pPr>
              <w:pStyle w:val="788"/>
              <w:ind w:left="0" w:firstLine="0"/>
              <w:spacing w:line="360" w:lineRule="exact"/>
              <w:rPr>
                <w:rFonts w:ascii="Times New Roman" w:hAnsi="Times New Roman"/>
                <w:sz w:val="24"/>
                <w:szCs w:val="24"/>
              </w:rPr>
            </w:pPr>
            <w:r>
              <w:rPr>
                <w:rFonts w:ascii="Times New Roman" w:hAnsi="Times New Roman"/>
                <w:sz w:val="24"/>
                <w:szCs w:val="24"/>
              </w:rPr>
              <w:t xml:space="preserve">末端监控报警回流：扬州市局报警数据自动抓取、匹配、一键闭环。</w:t>
            </w:r>
            <w:r/>
          </w:p>
        </w:tc>
      </w:tr>
    </w:tbl>
    <w:p>
      <w:pPr>
        <w:pStyle w:val="803"/>
        <w:ind w:left="0"/>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6、国产化适配方案</w:t>
      </w:r>
      <w:r/>
    </w:p>
    <w:p>
      <w:pPr>
        <w:pStyle w:val="769"/>
        <w:ind w:left="0"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投标人国产化适配方案依托</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园区现有虚拟机资源与政务资源开展建设，充分复用现有资源体系，降低项目建设成本。结合</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园区数字化建设规划，后续</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园区虚拟机将逐步推进国产化适配改造，因此项目程序开发、数据库搭建及全流程研发工作，均预留国产化适配接口，兼容国产数据库、中间件等国产化基础组件，后续将根据</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园区统一部署，无偿完成国产化操作系统的适配改造工作。</w:t>
      </w:r>
      <w:r/>
    </w:p>
    <w:p>
      <w:pPr>
        <w:pStyle w:val="769"/>
        <w:ind w:left="0"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需体现信息传输能力建设中关于政务网资源的申请与使用，项目政务网相关开发内容严格恪守政务信息化安全规范，政务系统的数据共享软件、基础运行框架及安全防护组件，均选用合规可靠的国产化产品，实现系统底层架构、基础支撑到上层应用的全层级自主可控，全面满足政务信息化建设合规要求。</w:t>
      </w:r>
      <w:r/>
    </w:p>
    <w:p>
      <w:pPr>
        <w:pStyle w:val="769"/>
        <w:ind w:left="0" w:firstLine="480"/>
        <w:keepLines w:val="0"/>
        <w:keepNext w:val="0"/>
        <w:pageBreakBefore w:val="0"/>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方案需全面融入数据安全与权限管控体系，保障系统运行与数据传输安全，数据需考虑加密算法应用设计，杜绝数据泄露、篡改风险保障数据安全。同时项目应采用国产数据库进行数据存储架构设计与落地使用，搭配数据加密技术，全方位保障项目数据分类存储的完整性、安全性与保密性，构建安全、稳定、合规的国产化数据运行体系。</w:t>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7、项目实施保障方案</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投标人需结合本次</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管理系统“建管用”一体化提升项目的实际需求、核心目标及现有资源条件，制定科学、详细、可落地的实施计划，同时配套完善的保障方案，确保项目按时、按质、按量完成，全面达到采购需求及上级监管要求。实施计划与保障方案需贴合项目场景，具备较强的可操作性和针对性，具体设计要求如下：</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 实施计划设计要求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实施整体项目总周期不得超过采购方规定时限，同时需将实施周期细化为调研准备、方案优化、系统开发、部署调试、人员培训、试运行、验收交付7个关键阶段，明确每个阶段的起止时间、核心任务、完成标准及责任人，确保各阶段衔接顺畅、有序推进，无脱节、无延误。</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实施进度管控要求：投标人需建立完善的进度管控机制，明确进度管控责任人，采用可视化进度管理工具，实时跟踪各阶段实施进度，对可能出现的进度延误情况，提前制定应急预案，及时调整实施计划，确保项目按时完成。同时，需定期向采购方提交进度报告，详细说明实施进度、已完成工作、下一步计划及存在的问题。</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 实施保障方案设计要求</w:t>
      </w:r>
      <w:r/>
    </w:p>
    <w:p>
      <w:pPr>
        <w:pStyle w:val="769"/>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需建立完善的全维度实施保障体系，全方位支撑项目高效合规落地。在组织保障上，组建包含项目经理、开发、测试、培训及驻场人员的专属实施团队，明确岗位职责与分工，依托项目经理丰富的项目经验统筹全流程工作，高效协调解决项目实施各类问题，保障团队协同作业。技术保障方面，搭建专业技术支撑体系，配备专人全程提供技术服务，建立问题快速响应处置机制，严格遵照各级行业技术标准开展系统开发、部署、调试工作，确保系统运行稳定、合规安全。</w:t>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8、试运行应急保障方案</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投标人需结合本次</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环境管理系统提升后的功能特点，编制规范化试运行应急保障方案，整体试运行服务周期不少于六个月。服务范围覆盖系统全部软件模块、数据接口、部署架构及联动业务，常态化开展系统运行监测、故障排查修复、数据全链路管控工作，保障数据上传完整、及时、规范；同步完成平台融合对接、功能迭代优化、运维台账建档更新，并面向</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园区管理人员开展系统化专项培训，内容涵盖平台操作、日常运维、故障排查及数据分析解读。同时结合多维监测数据迭代优化溯源分析模型，动态调校报警阈值与判定规则，实现告警事件全流程闭环管控，适配</w:t>
      </w:r>
      <w:r>
        <w:rPr>
          <w:rFonts w:hint="eastAsia" w:ascii="宋体" w:hAnsi="宋体" w:eastAsia="宋体" w:cs="宋体"/>
          <w:sz w:val="24"/>
          <w:szCs w:val="24"/>
          <w:lang w:val="en-US" w:eastAsia="zh-CN"/>
        </w:rPr>
        <w:t xml:space="preserve">化工</w:t>
      </w:r>
      <w:r>
        <w:rPr>
          <w:rFonts w:hint="eastAsia" w:ascii="宋体" w:hAnsi="宋体" w:eastAsia="宋体" w:cs="宋体"/>
          <w:sz w:val="24"/>
          <w:szCs w:val="24"/>
        </w:rPr>
        <w:t xml:space="preserve">园区管理与上级监管标准。</w:t>
      </w:r>
      <w:r/>
    </w:p>
    <w:p>
      <w:pPr>
        <w:pStyle w:val="763"/>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需配套完善专业化应急响应机制，组建专职应急技术团队，细化人员岗位职责，团队全员熟知系统架构、数据服务及接口逻辑，并实行全天候值守待命制度。建立标准化故障处置流程，规范故障上报、受理研判、分级处置及结果反馈全业务链路，依据故障等级差异化进行快速处理。针对系统宕机、数据异常、运行故障等高频突发问题制定专项应急预案，具备数据备份回滚、旁路切换、故障快速恢复等处置能力，高效化解运行风险；故障处置完成后开展复盘分析，持续优化应急预案与运维策略，长效保障系统平稳可靠运行。</w:t>
      </w:r>
      <w:r/>
    </w:p>
    <w:p>
      <w:pPr>
        <w:pStyle w:val="803"/>
        <w:ind w:left="0" w:firstLine="0"/>
        <w:keepLines w:val="0"/>
        <w:keepNext w:val="0"/>
        <w:pageBreakBefore w:val="0"/>
        <w:spacing w:line="400" w:lineRule="exact"/>
        <w:widowControl w:val="off"/>
        <w:rPr>
          <w:rFonts w:hint="eastAsia" w:ascii="宋体" w:hAnsi="宋体" w:eastAsia="宋体" w:cs="宋体"/>
          <w:b/>
          <w:bCs/>
          <w:sz w:val="24"/>
          <w:szCs w:val="24"/>
        </w:rPr>
        <w:outlineLvl w:val="0"/>
      </w:pPr>
      <w:r>
        <w:rPr>
          <w:rFonts w:hint="eastAsia" w:ascii="宋体" w:hAnsi="宋体" w:eastAsia="宋体" w:cs="Times New Roman"/>
          <w:b/>
          <w:bCs w:val="0"/>
          <w:color w:val="000000"/>
          <w:sz w:val="24"/>
          <w:szCs w:val="24"/>
          <w:lang w:val="en-US" w:eastAsia="zh-CN" w:bidi="ar-SA"/>
        </w:rPr>
        <w:t xml:space="preserve">六、</w:t>
      </w:r>
      <w:r>
        <w:rPr>
          <w:rFonts w:hint="eastAsia" w:ascii="宋体" w:hAnsi="宋体" w:eastAsia="宋体" w:cs="宋体"/>
          <w:b/>
          <w:bCs/>
          <w:sz w:val="24"/>
          <w:szCs w:val="24"/>
        </w:rPr>
        <w:t xml:space="preserve">验收要求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按《江苏省政府采购履约验收管理办法》苏财规〔2024〕 7号文件执行。</w:t>
      </w:r>
      <w:r/>
    </w:p>
    <w:p>
      <w:pPr>
        <w:pStyle w:val="803"/>
        <w:ind w:left="0" w:firstLine="0"/>
        <w:keepLines w:val="0"/>
        <w:keepNext w:val="0"/>
        <w:pageBreakBefore w:val="0"/>
        <w:spacing w:line="400" w:lineRule="exact"/>
        <w:widowControl w:val="off"/>
        <w:rPr>
          <w:rFonts w:hint="eastAsia" w:ascii="宋体" w:hAnsi="宋体" w:eastAsia="宋体" w:cs="宋体"/>
          <w:b/>
          <w:bCs/>
          <w:sz w:val="24"/>
          <w:szCs w:val="24"/>
        </w:rPr>
        <w:outlineLvl w:val="0"/>
      </w:pPr>
      <w:r>
        <w:rPr>
          <w:rFonts w:hint="eastAsia" w:ascii="宋体" w:hAnsi="宋体" w:eastAsia="宋体" w:cs="宋体"/>
          <w:b/>
          <w:bCs/>
          <w:color w:val="auto"/>
          <w:sz w:val="24"/>
          <w:szCs w:val="24"/>
          <w:lang w:val="en-US" w:eastAsia="zh-CN"/>
        </w:rPr>
        <w:t xml:space="preserve">七、</w:t>
      </w:r>
      <w:r>
        <w:rPr>
          <w:rFonts w:hint="eastAsia" w:ascii="宋体" w:hAnsi="宋体" w:eastAsia="宋体" w:cs="宋体"/>
          <w:b/>
          <w:bCs/>
          <w:sz w:val="24"/>
          <w:szCs w:val="24"/>
        </w:rPr>
        <w:t xml:space="preserve">演示要求</w:t>
      </w:r>
      <w:r/>
    </w:p>
    <w:p>
      <w:pPr>
        <w:ind w:firstLine="482"/>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投标人需按照招标文件规定的演示内容制作演示视</w:t>
      </w:r>
      <w:r>
        <w:rPr>
          <w:rFonts w:hint="eastAsia" w:ascii="宋体" w:hAnsi="宋体" w:eastAsia="宋体" w:cs="宋体"/>
          <w:color w:val="auto"/>
          <w:sz w:val="24"/>
          <w:szCs w:val="24"/>
        </w:rPr>
        <w:t xml:space="preserve">频文件，视频文件的格式为*.mp4或*.avi，投标人须将视频文件分段压缩为*.zip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演示者须根据投标内容进行现场讲解演示，演示者须同步出镜，视频帧须保持前后连续性，不得使用剪辑嫁接后期制作而成)，时长不超过 15 分钟。如不按以上要求摄录，视频演示不得分。</w:t>
      </w:r>
      <w:r/>
    </w:p>
    <w:p>
      <w:pPr>
        <w:pStyle w:val="763"/>
        <w:ind w:firstLine="480"/>
        <w:jc w:val="both"/>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演示内容需体现基于环境管理信息系统相关提升功能，展示质控运维、非现场工况监管、数据研判预警、大气污染溯源等内容，具体技术要求如下：</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220" w:name="OLE_LINK5"/>
      <w:r>
        <w:rPr>
          <w:rFonts w:hint="eastAsia" w:ascii="宋体" w:hAnsi="宋体" w:eastAsia="宋体" w:cs="宋体"/>
          <w:sz w:val="24"/>
          <w:szCs w:val="24"/>
        </w:rPr>
        <w:t xml:space="preserve">1、演示站位运维质控周期、运维单位配置等信息，可按照站点查询运维执行情况。</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2、演示超期未运维情况能有效进行报警及推送，管理人员及运维单位可对报警进行闭环跟踪处置。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3、演示数据标注功能，数据标注可关联监测数据，查阅站点数据时支持查看关联数据标注信息。</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4、演示异常报警线索配置及产生报警信息，支持超标报警、恒值报警、异常值报警类型。</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5、演示报警闭环管理信息，体现园企联动处理流程，提前报备报警可自动闭环。</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6、演示企业储罐基础档案信息，监测点位信息、可查询储罐监测点及预警配置信息。</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7、演示企业工况运行概况分析，可根据时间查询工况运行时段图，点击运行图可查看具体储罐工况趋势信息。</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8、演示大气污染物热力图演变情况，展示随着时间变化的情况下大气污染物浓度变化及覆盖范围。</w:t>
      </w:r>
      <w:r/>
    </w:p>
    <w:p>
      <w:pPr>
        <w:ind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9、溯源模型与风向、企业特征污染物之间关联逻辑，体现整体溯源效果与溯源过程。</w:t>
      </w:r>
      <w:r/>
    </w:p>
    <w:p>
      <w:pPr>
        <w:ind w:firstLine="480"/>
        <w:keepLines w:val="0"/>
        <w:keepNext w:val="0"/>
        <w:pageBreakBefore w:val="0"/>
        <w:spacing w:line="400" w:lineRule="exact"/>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10、演示移动走航、无人机等监测数据分析功能，同时根据走航等结果形成重点管控区域分析。</w:t>
      </w:r>
      <w:bookmarkEnd w:id="220"/>
      <w:r/>
      <w:r/>
    </w:p>
    <w:p>
      <w:pPr>
        <w:pStyle w:val="803"/>
        <w:ind w:left="0" w:firstLine="0"/>
        <w:keepLines w:val="0"/>
        <w:keepNext w:val="0"/>
        <w:pageBreakBefore w:val="0"/>
        <w:spacing w:line="40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其他要求</w:t>
      </w:r>
      <w:r/>
    </w:p>
    <w:p>
      <w:pPr>
        <w:ind w:firstLine="490"/>
        <w:keepLines w:val="0"/>
        <w:keepNext w:val="0"/>
        <w:pageBreakBefore w:val="0"/>
        <w:spacing w:line="400" w:lineRule="exact"/>
        <w:widowControl w:val="off"/>
        <w:rPr>
          <w:rFonts w:hint="eastAsia" w:ascii="宋体" w:hAnsi="宋体" w:eastAsia="宋体" w:cs="宋体"/>
          <w:b/>
          <w:spacing w:val="2"/>
          <w:sz w:val="24"/>
          <w:szCs w:val="24"/>
        </w:rPr>
        <w:outlineLvl w:val="1"/>
      </w:pPr>
      <w:r>
        <w:rPr>
          <w:rFonts w:hint="eastAsia" w:ascii="宋体" w:hAnsi="宋体" w:eastAsia="宋体" w:cs="宋体"/>
          <w:b/>
          <w:spacing w:val="2"/>
          <w:sz w:val="24"/>
          <w:szCs w:val="24"/>
        </w:rPr>
        <w:t xml:space="preserve">1、项目管理要求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中标人应满足以下要求：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（1）项目实施期间，中标人应安排具有专业技术水平的专职人员参与本项目建设。</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（2）项目例会、项目协调会等项目相关会议由中标人按采购人的要求定期组织召开。</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（3）指定一名项目经理与采购人对接联系，在项目建设期间应驻场，电话要保持7×24小时通畅，如遇到特殊情况需提前通知采购人。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（4）中标人应提供整体的项目管理方案，项目的重大事件或者管理变更需要得到采购人同意；关键性操作（如：重启服务器、管理员账号生成、权限的修改等）需以邮件或书面的方式得到采购人同意。</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拟派本项目的项目经理及项目组成员须具备项目实施经验。项目团队（不包括项目经理）应包括设计人员、需求分析人员、系统开发人员、系统测试人员等，在项目管理过程中应严格遵循采购人拟定的相关管理制度。</w:t>
      </w:r>
      <w:r/>
    </w:p>
    <w:p>
      <w:pPr>
        <w:ind w:firstLine="490"/>
        <w:keepLines w:val="0"/>
        <w:keepNext w:val="0"/>
        <w:pageBreakBefore w:val="0"/>
        <w:spacing w:line="400" w:lineRule="exact"/>
        <w:widowControl w:val="off"/>
        <w:rPr>
          <w:rFonts w:hint="eastAsia" w:ascii="宋体" w:hAnsi="宋体" w:eastAsia="宋体" w:cs="宋体"/>
          <w:b/>
          <w:spacing w:val="2"/>
          <w:sz w:val="24"/>
          <w:szCs w:val="24"/>
        </w:rPr>
        <w:outlineLvl w:val="1"/>
      </w:pPr>
      <w:r>
        <w:rPr>
          <w:rFonts w:hint="eastAsia" w:ascii="宋体" w:hAnsi="宋体" w:eastAsia="宋体" w:cs="宋体"/>
          <w:b/>
          <w:spacing w:val="2"/>
          <w:sz w:val="24"/>
          <w:szCs w:val="24"/>
        </w:rPr>
        <w:t xml:space="preserve">2、项目承诺要求</w:t>
      </w:r>
      <w:r/>
    </w:p>
    <w:p>
      <w:pPr>
        <w:ind w:firstLine="480"/>
        <w:keepLines w:val="0"/>
        <w:keepNext w:val="0"/>
        <w:pageBreakBefore w:val="0"/>
        <w:spacing w:line="400" w:lineRule="exact"/>
        <w:widowControl w:val="off"/>
        <w:tabs>
          <w:tab w:val="left" w:pos="0" w:leader="none"/>
        </w:tabs>
        <w:rPr>
          <w:rFonts w:hint="eastAsia" w:ascii="宋体" w:hAnsi="宋体" w:eastAsia="宋体" w:cs="宋体"/>
          <w:b/>
          <w:i/>
          <w:sz w:val="24"/>
          <w:szCs w:val="24"/>
          <w:u w:val="single"/>
        </w:rPr>
      </w:pPr>
      <w:r>
        <w:rPr>
          <w:rFonts w:hint="eastAsia" w:ascii="宋体" w:hAnsi="宋体" w:eastAsia="宋体" w:cs="宋体"/>
          <w:b w:val="0"/>
          <w:bCs/>
          <w:i/>
          <w:iCs w:val="0"/>
          <w:sz w:val="24"/>
          <w:szCs w:val="24"/>
          <w:u w:val="single"/>
        </w:rPr>
        <w:t xml:space="preserve">（1）本项目支持</w:t>
      </w:r>
      <w:r>
        <w:rPr>
          <w:rFonts w:hint="eastAsia" w:ascii="宋体" w:hAnsi="宋体" w:eastAsia="宋体" w:cs="宋体"/>
          <w:b w:val="0"/>
          <w:bCs/>
          <w:i/>
          <w:iCs w:val="0"/>
          <w:color w:val="auto"/>
          <w:sz w:val="24"/>
          <w:szCs w:val="24"/>
          <w:u w:val="single"/>
        </w:rPr>
        <w:t xml:space="preserve">后期</w:t>
      </w:r>
      <w:r>
        <w:rPr>
          <w:rFonts w:hint="eastAsia" w:ascii="宋体" w:hAnsi="宋体" w:eastAsia="宋体" w:cs="宋体"/>
          <w:b w:val="0"/>
          <w:bCs/>
          <w:i/>
          <w:iCs w:val="0"/>
          <w:sz w:val="24"/>
          <w:szCs w:val="24"/>
          <w:u w:val="single"/>
        </w:rPr>
        <w:t xml:space="preserve">国产操作系统、数据库，兼容适配国产软硬件和符合信创要求。</w:t>
      </w:r>
      <w:r>
        <w:rPr>
          <w:rFonts w:hint="eastAsia" w:ascii="宋体" w:hAnsi="宋体" w:eastAsia="宋体" w:cs="宋体"/>
          <w:b/>
          <w:i/>
          <w:sz w:val="24"/>
          <w:szCs w:val="24"/>
          <w:u w:val="single"/>
        </w:rPr>
        <w:t xml:space="preserve">（</w:t>
      </w:r>
      <w:bookmarkStart w:id="221" w:name="OLE_LINK30"/>
      <w:r>
        <w:rPr>
          <w:rFonts w:hint="eastAsia" w:ascii="宋体" w:hAnsi="宋体" w:eastAsia="宋体" w:cs="宋体"/>
          <w:b/>
          <w:i/>
          <w:sz w:val="24"/>
          <w:szCs w:val="24"/>
          <w:u w:val="single"/>
        </w:rPr>
        <w:t xml:space="preserve">提供承诺函，原件扫描上传</w:t>
      </w:r>
      <w:bookmarkEnd w:id="221"/>
      <w:r>
        <w:rPr>
          <w:rFonts w:hint="eastAsia" w:ascii="宋体" w:hAnsi="宋体" w:eastAsia="宋体" w:cs="宋体"/>
          <w:b/>
          <w:i/>
          <w:sz w:val="24"/>
          <w:szCs w:val="24"/>
          <w:u w:val="single"/>
        </w:rPr>
        <w:t xml:space="preserve">）</w:t>
      </w:r>
      <w:r/>
    </w:p>
    <w:p>
      <w:pPr>
        <w:ind w:firstLine="480"/>
        <w:keepLines w:val="0"/>
        <w:keepNext w:val="0"/>
        <w:pageBreakBefore w:val="0"/>
        <w:spacing w:line="400" w:lineRule="exact"/>
        <w:widowControl w:val="off"/>
        <w:tabs>
          <w:tab w:val="left" w:pos="0" w:leader="none"/>
        </w:tabs>
        <w:rPr>
          <w:rFonts w:hint="eastAsia" w:ascii="宋体" w:hAnsi="宋体" w:eastAsia="宋体" w:cs="宋体"/>
          <w:b/>
          <w:i/>
          <w:sz w:val="24"/>
          <w:szCs w:val="24"/>
          <w:u w:val="single"/>
        </w:rPr>
      </w:pPr>
      <w:r>
        <w:rPr>
          <w:rFonts w:hint="eastAsia" w:ascii="宋体" w:hAnsi="宋体" w:eastAsia="宋体" w:cs="宋体"/>
          <w:b w:val="0"/>
          <w:bCs/>
          <w:i/>
          <w:iCs w:val="0"/>
          <w:sz w:val="24"/>
          <w:szCs w:val="24"/>
          <w:u w:val="single"/>
        </w:rPr>
        <w:t xml:space="preserve">（2）建设规范化的</w:t>
      </w:r>
      <w:r>
        <w:rPr>
          <w:rFonts w:hint="eastAsia" w:ascii="宋体" w:hAnsi="宋体" w:eastAsia="宋体" w:cs="宋体"/>
          <w:b w:val="0"/>
          <w:bCs/>
          <w:i/>
          <w:iCs w:val="0"/>
          <w:sz w:val="24"/>
          <w:szCs w:val="24"/>
          <w:u w:val="single"/>
          <w:lang w:val="en-US" w:eastAsia="zh-CN"/>
        </w:rPr>
        <w:t xml:space="preserve">化工</w:t>
      </w:r>
      <w:r>
        <w:rPr>
          <w:rFonts w:hint="eastAsia" w:ascii="宋体" w:hAnsi="宋体" w:eastAsia="宋体" w:cs="宋体"/>
          <w:b w:val="0"/>
          <w:bCs/>
          <w:i/>
          <w:iCs w:val="0"/>
          <w:sz w:val="24"/>
          <w:szCs w:val="24"/>
          <w:u w:val="single"/>
        </w:rPr>
        <w:t xml:space="preserve">园区生态环境一园一档系统，系统中各类监测监控、环境管理数据应动态更新，并与省生态环境智慧监管平台实时共享，保证上传数据完整率大于等于95%</w:t>
      </w:r>
      <w:r>
        <w:rPr>
          <w:rFonts w:hint="eastAsia" w:ascii="宋体" w:hAnsi="宋体" w:eastAsia="宋体" w:cs="宋体"/>
          <w:b w:val="0"/>
          <w:bCs/>
          <w:i/>
          <w:iCs w:val="0"/>
          <w:sz w:val="24"/>
          <w:szCs w:val="24"/>
          <w:u w:val="single"/>
          <w:lang w:eastAsia="zh-CN"/>
        </w:rPr>
        <w:t xml:space="preserve">。</w:t>
      </w:r>
      <w:r>
        <w:rPr>
          <w:rFonts w:hint="eastAsia" w:ascii="宋体" w:hAnsi="宋体" w:eastAsia="宋体" w:cs="宋体"/>
          <w:b/>
          <w:i/>
          <w:sz w:val="24"/>
          <w:szCs w:val="24"/>
          <w:u w:val="single"/>
        </w:rPr>
        <w:t xml:space="preserve">（提供承诺函，原件扫描上传）</w:t>
      </w:r>
      <w:r/>
    </w:p>
    <w:p>
      <w:pPr>
        <w:ind w:firstLine="480"/>
        <w:keepLines w:val="0"/>
        <w:keepNext w:val="0"/>
        <w:pageBreakBefore w:val="0"/>
        <w:spacing w:line="400" w:lineRule="exact"/>
        <w:widowControl w:val="off"/>
        <w:tabs>
          <w:tab w:val="left" w:pos="0" w:leader="none"/>
        </w:tabs>
        <w:rPr>
          <w:rFonts w:hint="eastAsia" w:ascii="宋体" w:hAnsi="宋体" w:eastAsia="宋体" w:cs="宋体"/>
          <w:b/>
          <w:i/>
          <w:sz w:val="24"/>
          <w:szCs w:val="24"/>
          <w:u w:val="single"/>
        </w:rPr>
      </w:pPr>
      <w:r>
        <w:rPr>
          <w:rFonts w:hint="eastAsia" w:ascii="宋体" w:hAnsi="宋体" w:eastAsia="宋体" w:cs="宋体"/>
          <w:b w:val="0"/>
          <w:bCs/>
          <w:i/>
          <w:iCs w:val="0"/>
          <w:sz w:val="24"/>
          <w:szCs w:val="24"/>
          <w:u w:val="single"/>
        </w:rPr>
        <w:t xml:space="preserve">（3）承诺主动配合</w:t>
      </w:r>
      <w:r>
        <w:rPr>
          <w:rFonts w:hint="eastAsia" w:ascii="宋体" w:hAnsi="宋体" w:eastAsia="宋体" w:cs="宋体"/>
          <w:b w:val="0"/>
          <w:bCs/>
          <w:i/>
          <w:iCs w:val="0"/>
          <w:sz w:val="24"/>
          <w:szCs w:val="24"/>
          <w:u w:val="single"/>
          <w:lang w:val="en-US" w:eastAsia="zh-CN"/>
        </w:rPr>
        <w:t xml:space="preserve">化工</w:t>
      </w:r>
      <w:r>
        <w:rPr>
          <w:rFonts w:hint="eastAsia" w:ascii="宋体" w:hAnsi="宋体" w:eastAsia="宋体" w:cs="宋体"/>
          <w:b w:val="0"/>
          <w:bCs/>
          <w:i/>
          <w:iCs w:val="0"/>
          <w:sz w:val="24"/>
          <w:szCs w:val="24"/>
          <w:u w:val="single"/>
        </w:rPr>
        <w:t xml:space="preserve">园区年度网络安全等级保护测评与安全检查工作，严格遵循信息系统安全等级保护三级建设标准开展漏洞排查、风险整改与安全加固，确保系统不存在中高危安全漏洞</w:t>
      </w:r>
      <w:r>
        <w:rPr>
          <w:rFonts w:hint="eastAsia" w:ascii="宋体" w:hAnsi="宋体" w:eastAsia="宋体" w:cs="宋体"/>
          <w:b w:val="0"/>
          <w:bCs/>
          <w:i/>
          <w:iCs w:val="0"/>
          <w:sz w:val="24"/>
          <w:szCs w:val="24"/>
          <w:u w:val="single"/>
          <w:lang w:eastAsia="zh-CN"/>
        </w:rPr>
        <w:t xml:space="preserve">。</w:t>
      </w:r>
      <w:r>
        <w:rPr>
          <w:rFonts w:hint="eastAsia" w:ascii="宋体" w:hAnsi="宋体" w:eastAsia="宋体" w:cs="宋体"/>
          <w:b/>
          <w:i/>
          <w:sz w:val="24"/>
          <w:szCs w:val="24"/>
          <w:u w:val="single"/>
        </w:rPr>
        <w:t xml:space="preserve">（提供承诺函，原件扫描上传）</w:t>
      </w:r>
      <w:r/>
    </w:p>
    <w:p>
      <w:pPr>
        <w:pStyle w:val="942"/>
        <w:jc w:val="both"/>
        <w:rPr>
          <w:rFonts w:hint="eastAsia" w:ascii="黑体" w:eastAsia="黑体"/>
          <w:bCs/>
          <w:color w:val="000000"/>
          <w:sz w:val="44"/>
        </w:rPr>
      </w:pPr>
      <w:r>
        <w:rPr>
          <w:rFonts w:hint="eastAsia" w:ascii="黑体" w:eastAsia="黑体"/>
          <w:bCs/>
          <w:color w:val="000000"/>
          <w:sz w:val="44"/>
        </w:rPr>
      </w:r>
      <w:r/>
    </w:p>
    <w:p>
      <w:pPr>
        <w:pStyle w:val="942"/>
        <w:jc w:val="center"/>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030"/>
        <w:ind w:firstLine="439"/>
        <w:rPr>
          <w:rFonts w:cs="Arial"/>
          <w:color w:val="000000"/>
        </w:rPr>
      </w:pPr>
      <w:r>
        <w:rPr>
          <w:rFonts w:hint="eastAsia" w:cs="Arial"/>
          <w:color w:val="000000"/>
          <w:lang w:val="en-US" w:eastAsia="zh-CN"/>
        </w:rPr>
        <w:t xml:space="preserve">本项目</w:t>
      </w:r>
      <w:r>
        <w:rPr>
          <w:rFonts w:cs="Arial"/>
          <w:color w:val="000000"/>
        </w:rPr>
        <w:t xml:space="preserve">采用综合评分法，评标结果按评审后得分由高到低顺序排列。得分相同的，按投标报价由低到高顺序排列。得分且投标报价相同的并列。</w:t>
      </w:r>
      <w:r/>
    </w:p>
    <w:tbl>
      <w:tblPr>
        <w:tblStyle w:val="762"/>
        <w:tblW w:w="8906"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2592"/>
        <w:gridCol w:w="4946"/>
      </w:tblGrid>
      <w:tr>
        <w:trPr/>
        <w:tc>
          <w:tcPr>
            <w:tcW w:w="136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5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9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6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592"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highlight w:val="none"/>
                <w:lang w:val="en-US" w:eastAsia="zh-CN"/>
              </w:rPr>
              <w:t xml:space="preserve">1</w:t>
            </w:r>
            <w:r/>
          </w:p>
        </w:tc>
        <w:tc>
          <w:tcPr>
            <w:tcW w:w="4946" w:type="dxa"/>
            <w:vAlign w:val="center"/>
            <w:textDirection w:val="lrTb"/>
            <w:noWrap w:val="false"/>
          </w:tcPr>
          <w:p>
            <w:pPr>
              <w:jc w:val="both"/>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030"/>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eastAsia="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w:t>
      </w:r>
      <w:r/>
    </w:p>
    <w:tbl>
      <w:tblPr>
        <w:tblStyle w:val="762"/>
        <w:tblW w:w="8904"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536"/>
      </w:tblGrid>
      <w:tr>
        <w:trPr/>
        <w:tc>
          <w:tcPr>
            <w:tcW w:w="136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7536"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6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53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030"/>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u w:val="single"/>
          <w:lang w:val="en-US" w:eastAsia="zh-CN"/>
        </w:rPr>
        <w:t xml:space="preserve"> </w:t>
      </w:r>
      <w:r>
        <w:rPr>
          <w:rFonts w:hint="eastAsia" w:ascii="宋体" w:hAnsi="宋体" w:cs="宋体"/>
          <w:color w:val="auto"/>
          <w:sz w:val="24"/>
          <w:u w:val="single"/>
        </w:rPr>
        <w:t xml:space="preserve">/</w:t>
      </w:r>
      <w:r>
        <w:rPr>
          <w:rFonts w:hint="eastAsia" w:ascii="宋体" w:hAnsi="宋体" w:cs="宋体"/>
          <w:color w:val="auto"/>
          <w:sz w:val="24"/>
          <w:u w:val="single"/>
          <w:lang w:val="en-US" w:eastAsia="zh-CN"/>
        </w:rPr>
        <w:t xml:space="preserve"> </w:t>
      </w:r>
      <w:r>
        <w:rPr>
          <w:rFonts w:hint="eastAsia" w:ascii="宋体" w:hAnsi="宋体"/>
          <w:color w:val="000000"/>
          <w:sz w:val="24"/>
          <w:szCs w:val="24"/>
        </w:rPr>
        <w:t xml:space="preserve">的价格扣除，用扣除后的价格参与评审。</w:t>
      </w:r>
      <w:r/>
    </w:p>
    <w:p>
      <w:pPr>
        <w:ind w:firstLine="480"/>
        <w:jc w:val="left"/>
        <w:keepLines w:val="0"/>
        <w:keepNext w:val="0"/>
        <w:pageBreakBefore w:val="0"/>
        <w:spacing w:before="120" w:after="120" w:line="400" w:lineRule="exact"/>
        <w:widowControl w:val="off"/>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auto"/>
          <w:sz w:val="24"/>
          <w:szCs w:val="24"/>
          <w:u w:val="single"/>
          <w:lang w:val="en-US" w:eastAsia="zh-CN"/>
        </w:rPr>
        <w:t xml:space="preserve"> </w:t>
      </w:r>
      <w:r>
        <w:rPr>
          <w:rFonts w:hint="eastAsia" w:ascii="宋体" w:hAnsi="宋体" w:cs="宋体"/>
          <w:color w:val="auto"/>
          <w:sz w:val="24"/>
          <w:szCs w:val="24"/>
          <w:u w:val="single"/>
        </w:rPr>
        <w:t xml:space="preserve">/</w:t>
      </w:r>
      <w:r>
        <w:rPr>
          <w:rFonts w:hint="eastAsia" w:ascii="宋体" w:hAnsi="宋体" w:cs="宋体"/>
          <w:color w:val="auto"/>
          <w:sz w:val="24"/>
          <w:szCs w:val="24"/>
          <w:u w:val="single"/>
          <w:lang w:val="en-US" w:eastAsia="zh-CN"/>
        </w:rPr>
        <w:t xml:space="preserve"> </w:t>
      </w:r>
      <w:r>
        <w:rPr>
          <w:rFonts w:hint="eastAsia" w:ascii="宋体" w:hAnsi="宋体"/>
          <w:color w:val="000000"/>
          <w:sz w:val="24"/>
          <w:szCs w:val="24"/>
        </w:rPr>
        <w:t xml:space="preserve">价格扣除，用扣除后的价格参与评审。</w:t>
      </w:r>
      <w:r/>
    </w:p>
    <w:p>
      <w:pPr>
        <w:ind w:left="560"/>
        <w:jc w:val="left"/>
        <w:keepLines w:val="0"/>
        <w:keepNext w:val="0"/>
        <w:pageBreakBefore w:val="0"/>
        <w:spacing w:line="400" w:lineRule="exact"/>
        <w:widowControl w:val="off"/>
        <w:rPr>
          <w:rFonts w:hint="eastAsia" w:ascii="Times New Roman" w:hAnsi="Times New Roman"/>
          <w:b/>
          <w:szCs w:val="28"/>
          <w:lang w:bidi="ar"/>
        </w:rPr>
        <w:outlineLvl w:val="0"/>
      </w:pPr>
      <w:r>
        <w:rPr>
          <w:rFonts w:hint="eastAsia" w:ascii="Times New Roman" w:hAnsi="Times New Roman"/>
          <w:b/>
          <w:sz w:val="24"/>
          <w:szCs w:val="24"/>
          <w:lang w:bidi="ar"/>
        </w:rPr>
        <w:t xml:space="preserve">评分标准（综合评分法）</w:t>
      </w:r>
      <w:r/>
    </w:p>
    <w:tbl>
      <w:tblPr>
        <w:tblStyle w:val="762"/>
        <w:tblW w:w="94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1122"/>
        <w:gridCol w:w="6913"/>
        <w:gridCol w:w="814"/>
      </w:tblGrid>
      <w:tr>
        <w:trPr>
          <w:jc w:val="center"/>
          <w:trHeight w:val="90"/>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767"/>
              <w:jc w:val="center"/>
              <w:rPr>
                <w:rFonts w:ascii="Times New Roman" w:hAnsi="Times New Roman"/>
                <w:color w:val="000000"/>
              </w:rPr>
            </w:pPr>
            <w:r>
              <w:rPr>
                <w:rFonts w:ascii="Times New Roman" w:hAnsi="Times New Roman"/>
                <w:color w:val="000000"/>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pStyle w:val="767"/>
              <w:jc w:val="center"/>
              <w:rPr>
                <w:rFonts w:ascii="Times New Roman" w:hAnsi="Times New Roman"/>
                <w:color w:val="000000"/>
              </w:rPr>
            </w:pPr>
            <w:r>
              <w:rPr>
                <w:rFonts w:ascii="Times New Roman" w:hAnsi="Times New Roman"/>
                <w:color w:val="000000"/>
              </w:rPr>
              <w:t xml:space="preserve">评分因素</w:t>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jc w:val="center"/>
              <w:rPr>
                <w:rFonts w:ascii="Times New Roman" w:hAnsi="Times New Roman"/>
                <w:color w:val="auto"/>
              </w:rPr>
            </w:pPr>
            <w:r>
              <w:rPr>
                <w:rFonts w:ascii="Times New Roman" w:hAnsi="Times New Roman"/>
                <w:color w:val="auto"/>
              </w:rPr>
              <w:t xml:space="preserve">评分标准</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color w:val="000000"/>
              </w:rPr>
            </w:pPr>
            <w:r>
              <w:rPr>
                <w:color w:val="000000"/>
              </w:rPr>
              <w:t xml:space="preserve">分值</w:t>
            </w:r>
            <w:r/>
          </w:p>
        </w:tc>
      </w:tr>
      <w:tr>
        <w:trPr>
          <w:jc w:val="center"/>
          <w:trHeight w:val="970"/>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767"/>
              <w:jc w:val="center"/>
              <w:rPr>
                <w:rFonts w:ascii="Times New Roman" w:hAnsi="Times New Roman"/>
                <w:color w:val="000000"/>
              </w:rPr>
            </w:pPr>
            <w:r>
              <w:rPr>
                <w:rFonts w:ascii="Times New Roman" w:hAnsi="Times New Roman"/>
                <w:color w:val="000000"/>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pStyle w:val="767"/>
              <w:jc w:val="center"/>
              <w:keepLines w:val="0"/>
              <w:keepNext w:val="0"/>
              <w:pageBreakBefore w:val="0"/>
              <w:spacing w:line="320" w:lineRule="exact"/>
              <w:widowControl w:val="off"/>
              <w:rPr>
                <w:rFonts w:ascii="Times New Roman" w:hAnsi="Times New Roman"/>
                <w:color w:val="000000"/>
              </w:rPr>
              <w:outlineLvl w:val="9"/>
            </w:pPr>
            <w:r/>
            <w:bookmarkStart w:id="222" w:name="OLE_LINK1"/>
            <w:r>
              <w:rPr>
                <w:rFonts w:ascii="Times New Roman" w:hAnsi="Times New Roman"/>
                <w:color w:val="000000"/>
              </w:rPr>
              <w:t xml:space="preserve">投标报价</w:t>
            </w:r>
            <w:r/>
          </w:p>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（10分）</w:t>
            </w:r>
            <w:bookmarkEnd w:id="222"/>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rPr>
                <w:rFonts w:ascii="Times New Roman" w:hAnsi="Times New Roman"/>
                <w:color w:val="auto"/>
              </w:rPr>
              <w:t xml:space="preserve">以满足招标文件要求的最低投标报价为评标基准价，得满分10分。其他投标报价得分=(评标基准价/其他投标报价) ×10×100%</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eastAsia="宋体"/>
                <w:color w:val="000000"/>
                <w:lang w:val="en-US" w:eastAsia="zh-CN"/>
              </w:rPr>
            </w:pPr>
            <w:r>
              <w:rPr>
                <w:rFonts w:ascii="Times New Roman" w:hAnsi="Times New Roman"/>
                <w:color w:val="000000"/>
              </w:rPr>
              <w:t xml:space="preserve">10</w:t>
            </w:r>
            <w:r>
              <w:rPr>
                <w:rFonts w:hint="eastAsia" w:ascii="Times New Roman" w:hAnsi="Times New Roman"/>
                <w:color w:val="000000"/>
                <w:lang w:val="en-US" w:eastAsia="zh-CN"/>
              </w:rPr>
              <w:t xml:space="preserve">分</w:t>
            </w:r>
            <w:r/>
          </w:p>
        </w:tc>
      </w:tr>
      <w:tr>
        <w:trPr>
          <w:jc w:val="center"/>
          <w:trHeight w:val="970"/>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767"/>
              <w:jc w:val="center"/>
              <w:rPr>
                <w:rFonts w:ascii="Times New Roman" w:hAnsi="Times New Roman"/>
                <w:color w:val="000000"/>
              </w:rPr>
            </w:pPr>
            <w:r>
              <w:rPr>
                <w:rFonts w:ascii="Times New Roman" w:hAnsi="Times New Roman"/>
                <w:color w:val="000000"/>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技术性能</w:t>
            </w:r>
            <w:r/>
          </w:p>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（15分）</w:t>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rPr>
                <w:rFonts w:ascii="Times New Roman" w:hAnsi="Times New Roman"/>
                <w:color w:val="auto"/>
              </w:rPr>
            </w:pPr>
            <w:r>
              <w:rPr>
                <w:rFonts w:ascii="Times New Roman" w:hAnsi="Times New Roman"/>
                <w:color w:val="auto"/>
              </w:rPr>
              <w:t xml:space="preserve">根据招标文件详细技术要求，完全响应即满足招标文件各项技术指标、参数要求的得15分，加“</w:t>
            </w:r>
            <w:r>
              <w:rPr>
                <w:rFonts w:ascii="Segoe UI Symbol" w:hAnsi="Segoe UI Symbol" w:cs="Segoe UI Symbol"/>
                <w:color w:val="auto"/>
              </w:rPr>
              <w:t xml:space="preserve">★</w:t>
            </w:r>
            <w:r>
              <w:rPr>
                <w:rFonts w:ascii="Times New Roman" w:hAnsi="Times New Roman"/>
                <w:color w:val="auto"/>
              </w:rPr>
              <w:t xml:space="preserve">”的技术指标有一项负偏离的扣1分。</w:t>
            </w:r>
            <w:r/>
          </w:p>
          <w:p>
            <w:pPr>
              <w:pStyle w:val="767"/>
              <w:rPr>
                <w:rFonts w:ascii="Times New Roman" w:hAnsi="Times New Roman"/>
                <w:color w:val="auto"/>
              </w:rPr>
            </w:pPr>
            <w:r>
              <w:rPr>
                <w:rFonts w:ascii="Times New Roman" w:hAnsi="Times New Roman"/>
                <w:b/>
                <w:bCs/>
                <w:color w:val="auto"/>
              </w:rPr>
              <w:t xml:space="preserve">（投标人须按照本招标文件的技术指标要求，在“技术参数响应偏离表”中如实详细填列所投功能参数，并提供有效的证明材料，不提供的视为不满足）</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ascii="Times New Roman" w:hAnsi="Times New Roman"/>
                <w:color w:val="000000"/>
              </w:rPr>
            </w:pPr>
            <w:r>
              <w:rPr>
                <w:rFonts w:ascii="Times New Roman" w:hAnsi="Times New Roman"/>
                <w:color w:val="000000"/>
              </w:rPr>
              <w:t xml:space="preserve">15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restart"/>
            <w:textDirection w:val="lrTb"/>
            <w:noWrap w:val="false"/>
          </w:tcPr>
          <w:p>
            <w:pPr>
              <w:pStyle w:val="767"/>
              <w:jc w:val="center"/>
              <w:rPr>
                <w:rFonts w:ascii="Times New Roman" w:hAnsi="Times New Roman"/>
                <w:color w:val="000000"/>
              </w:rPr>
            </w:pPr>
            <w:r/>
            <w:bookmarkStart w:id="223" w:name="_Hlk230168706"/>
            <w:r/>
            <w:bookmarkStart w:id="224" w:name="OLE_LINK35"/>
            <w:r/>
            <w:bookmarkStart w:id="225" w:name="OLE_LINK36"/>
            <w:r/>
            <w:bookmarkStart w:id="226" w:name="OLE_LINK34"/>
            <w:r>
              <w:rPr>
                <w:rFonts w:ascii="Times New Roman" w:hAnsi="Times New Roman"/>
                <w:color w:val="000000"/>
              </w:rPr>
              <w:t xml:space="preserve">3</w:t>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restart"/>
            <w:textDirection w:val="lrTb"/>
            <w:noWrap w:val="false"/>
          </w:tcPr>
          <w:p>
            <w:pPr>
              <w:pStyle w:val="767"/>
              <w:jc w:val="center"/>
              <w:keepLines w:val="0"/>
              <w:keepNext w:val="0"/>
              <w:pageBreakBefore w:val="0"/>
              <w:spacing w:line="320" w:lineRule="exact"/>
              <w:widowControl w:val="off"/>
              <w:rPr>
                <w:rFonts w:ascii="Times New Roman" w:hAnsi="Times New Roman"/>
                <w:color w:val="000000"/>
              </w:rPr>
              <w:outlineLvl w:val="9"/>
            </w:pPr>
            <w:r>
              <w:rPr>
                <w:rFonts w:hint="eastAsia" w:ascii="Times New Roman" w:hAnsi="Times New Roman"/>
                <w:color w:val="000000"/>
                <w:lang w:val="en-US" w:eastAsia="zh-CN"/>
              </w:rPr>
              <w:t xml:space="preserve">技术</w:t>
            </w:r>
            <w:r>
              <w:rPr>
                <w:rFonts w:ascii="Times New Roman" w:hAnsi="Times New Roman"/>
                <w:color w:val="000000"/>
              </w:rPr>
              <w:t xml:space="preserve">方案</w:t>
            </w:r>
            <w:r/>
          </w:p>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（40分）</w:t>
            </w:r>
            <w:r/>
          </w:p>
          <w:p>
            <w:pPr>
              <w:pStyle w:val="767"/>
              <w:jc w:val="center"/>
              <w:keepLines w:val="0"/>
              <w:keepNext w:val="0"/>
              <w:pageBreakBefore w:val="0"/>
              <w:spacing w:line="320" w:lineRule="exact"/>
              <w:widowControl w:val="off"/>
              <w:rPr>
                <w:rFonts w:ascii="Times New Roman" w:hAnsi="Times New Roman"/>
                <w:color w:val="000000"/>
              </w:rPr>
              <w:outlineLvl w:val="9"/>
            </w:pPr>
            <w:r>
              <w:rPr>
                <w:rFonts w:hint="eastAsia" w:hAnsi="宋体" w:cs="宋体"/>
                <w:b/>
                <w:bCs/>
                <w:color w:val="ff0000"/>
                <w:sz w:val="21"/>
                <w:szCs w:val="21"/>
                <w:lang w:val="zh-CN" w:eastAsia="en-US"/>
              </w:rPr>
              <w:t xml:space="preserve">（</w:t>
            </w:r>
            <w:r>
              <w:rPr>
                <w:rFonts w:hint="eastAsia" w:hAnsi="宋体" w:cs="宋体"/>
                <w:b/>
                <w:bCs/>
                <w:color w:val="ff0000"/>
                <w:sz w:val="21"/>
                <w:szCs w:val="21"/>
                <w:lang w:val="en-US" w:eastAsia="zh-CN"/>
              </w:rPr>
              <w:t xml:space="preserve">暗标）</w:t>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rPr>
                <w:rFonts w:hint="eastAsia" w:ascii="Times New Roman" w:hAnsi="Times New Roman"/>
                <w:color w:val="auto"/>
                <w:lang w:val="en-US" w:eastAsia="zh-CN"/>
              </w:rPr>
              <w:t xml:space="preserve">1、</w:t>
            </w:r>
            <w:r>
              <w:rPr>
                <w:rFonts w:ascii="Times New Roman" w:hAnsi="Times New Roman"/>
                <w:color w:val="auto"/>
              </w:rPr>
              <w:t xml:space="preserve">项目需求分析方案：基于</w:t>
            </w:r>
            <w:r>
              <w:rPr>
                <w:rFonts w:hint="eastAsia" w:ascii="Times New Roman" w:hAnsi="Times New Roman"/>
                <w:color w:val="auto"/>
                <w:lang w:val="en-US" w:eastAsia="zh-CN"/>
              </w:rPr>
              <w:t xml:space="preserve">化工</w:t>
            </w:r>
            <w:r>
              <w:rPr>
                <w:rFonts w:ascii="Times New Roman" w:hAnsi="Times New Roman"/>
                <w:color w:val="auto"/>
              </w:rPr>
              <w:t xml:space="preserve">园区现状及问题开展调研分析，提供需求理解与问题解决方案</w:t>
            </w:r>
            <w:bookmarkStart w:id="227" w:name="OLE_LINK7"/>
            <w:r>
              <w:rPr>
                <w:rFonts w:ascii="Times New Roman" w:hAnsi="Times New Roman"/>
                <w:color w:val="auto"/>
              </w:rPr>
              <w:t xml:space="preserve">。方案优于招标文件要求得5分；符合招标文件要求得3分；不符合招标文件要求或未提供的不得分。</w:t>
            </w:r>
            <w:bookmarkEnd w:id="227"/>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bookmarkStart w:id="228" w:name="OLE_LINK2"/>
            <w:r>
              <w:rPr>
                <w:rFonts w:hint="eastAsia" w:ascii="Times New Roman" w:hAnsi="Times New Roman"/>
                <w:color w:val="auto"/>
                <w:lang w:val="en-US" w:eastAsia="zh-CN"/>
              </w:rPr>
              <w:t xml:space="preserve">2、</w:t>
            </w:r>
            <w:r>
              <w:rPr>
                <w:rFonts w:ascii="Times New Roman" w:hAnsi="Times New Roman"/>
                <w:color w:val="auto"/>
              </w:rPr>
              <w:t xml:space="preserve">项目技术架构方案：</w:t>
            </w:r>
            <w:bookmarkEnd w:id="228"/>
            <w:r>
              <w:rPr>
                <w:rFonts w:ascii="Times New Roman" w:hAnsi="Times New Roman"/>
                <w:color w:val="auto"/>
              </w:rPr>
              <w:t xml:space="preserve">方案包含总体框架设计、网络架构设计等内容。方案优于招标文件要求得5分；符合招标文件要求得3分；不符合招标文件要求或未提供的不得分。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ascii="Times New Roman" w:hAnsi="Times New Roman"/>
                <w:color w:val="000000"/>
              </w:rPr>
            </w:pPr>
            <w:r>
              <w:rPr>
                <w:rFonts w:hint="eastAsia" w:ascii="Times New Roman" w:hAnsi="Times New Roman"/>
                <w:color w:val="000000"/>
              </w:rPr>
              <w:t xml:space="preserve">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rPr>
                <w:rFonts w:hint="eastAsia" w:ascii="Times New Roman" w:hAnsi="Times New Roman"/>
                <w:color w:val="auto"/>
                <w:lang w:val="en-US" w:eastAsia="zh-CN"/>
              </w:rPr>
              <w:t xml:space="preserve">3、</w:t>
            </w:r>
            <w:r>
              <w:rPr>
                <w:rFonts w:ascii="Times New Roman" w:hAnsi="Times New Roman"/>
                <w:color w:val="auto"/>
              </w:rPr>
              <w:t xml:space="preserve">数据传输交互方案：详细阐述各类环境监测数据的获取来源、采集方式、传输机制以及平台交互逻辑。方案优于招标文件要求得5分；符合招标文件要求得3分；不符合招标文件要求或未提供的不得分。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ascii="Times New Roman" w:hAnsi="Times New Roman"/>
                <w:color w:val="000000"/>
              </w:rPr>
            </w:pPr>
            <w:r>
              <w:rPr>
                <w:rFonts w:hint="eastAsia" w:ascii="Times New Roman" w:hAnsi="Times New Roman"/>
                <w:color w:val="000000"/>
              </w:rPr>
              <w:t xml:space="preserve">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rPr>
                <w:rFonts w:hint="eastAsia" w:ascii="Times New Roman" w:hAnsi="Times New Roman"/>
                <w:color w:val="auto"/>
                <w:lang w:val="en-US" w:eastAsia="zh-CN"/>
              </w:rPr>
              <w:t xml:space="preserve">4、</w:t>
            </w:r>
            <w:r>
              <w:rPr>
                <w:rFonts w:ascii="Times New Roman" w:hAnsi="Times New Roman"/>
                <w:color w:val="auto"/>
              </w:rPr>
              <w:t xml:space="preserve">平台融合设计方案：制定针对性的平台整合、业务融合及功能升级优化方案，提出优化提升路径与新旧平台对接融合策略</w:t>
            </w:r>
            <w:bookmarkStart w:id="229" w:name="OLE_LINK16"/>
            <w:r>
              <w:rPr>
                <w:rFonts w:ascii="Times New Roman" w:hAnsi="Times New Roman"/>
                <w:color w:val="auto"/>
              </w:rPr>
              <w:t xml:space="preserve">。方案优于招标文件要求得5分；符合招标文件要求得3分；不符合招标文件要求或未提供的不得分。</w:t>
            </w:r>
            <w:bookmarkEnd w:id="229"/>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ascii="Times New Roman" w:hAnsi="Times New Roman"/>
                <w:color w:val="000000"/>
              </w:rPr>
            </w:pPr>
            <w:r>
              <w:rPr>
                <w:rFonts w:hint="eastAsia" w:ascii="Times New Roman" w:hAnsi="Times New Roman"/>
                <w:color w:val="000000"/>
              </w:rPr>
              <w:t xml:space="preserve">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rPr>
                <w:rFonts w:hint="eastAsia" w:ascii="Times New Roman" w:hAnsi="Times New Roman"/>
                <w:color w:val="auto"/>
                <w:lang w:val="en-US" w:eastAsia="zh-CN"/>
              </w:rPr>
              <w:t xml:space="preserve">5、</w:t>
            </w:r>
            <w:r>
              <w:rPr>
                <w:rFonts w:ascii="Times New Roman" w:hAnsi="Times New Roman"/>
                <w:color w:val="auto"/>
              </w:rPr>
              <w:t xml:space="preserve">业务功能设计方案：依据技术要求与项目建设需求，输出成熟、系统化的软件业务功能设计方案</w:t>
            </w:r>
            <w:bookmarkStart w:id="230" w:name="OLE_LINK27"/>
            <w:r>
              <w:rPr>
                <w:rFonts w:ascii="Times New Roman" w:hAnsi="Times New Roman"/>
                <w:color w:val="auto"/>
              </w:rPr>
              <w:t xml:space="preserve">。方案优于招标文件要求得5分；符合招标文件要求得3分；不符合招标文件要求或未提供的不得分。</w:t>
            </w:r>
            <w:bookmarkEnd w:id="230"/>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rPr>
                <w:rFonts w:hint="eastAsia" w:ascii="Times New Roman" w:hAnsi="Times New Roman"/>
                <w:color w:val="auto"/>
                <w:lang w:val="en-US" w:eastAsia="zh-CN"/>
              </w:rPr>
              <w:t xml:space="preserve">6、</w:t>
            </w:r>
            <w:r>
              <w:rPr>
                <w:rFonts w:ascii="Times New Roman" w:hAnsi="Times New Roman"/>
                <w:color w:val="auto"/>
              </w:rPr>
              <w:t xml:space="preserve">国产化适配方案：围绕国产化相关要求设计数据加密规则，政务网部分资源申请、信息传输工作需考虑国产化操作系统及数据库。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bookmarkStart w:id="231" w:name="_Hlk229554985"/>
            <w:r/>
            <w:bookmarkStart w:id="232" w:name="OLE_LINK9"/>
            <w:r/>
            <w:bookmarkStart w:id="233" w:name="OLE_LINK6"/>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rPr>
                <w:rFonts w:hint="eastAsia" w:ascii="Times New Roman" w:hAnsi="Times New Roman"/>
                <w:color w:val="auto"/>
                <w:lang w:val="en-US" w:eastAsia="zh-CN"/>
              </w:rPr>
              <w:t xml:space="preserve">7、</w:t>
            </w:r>
            <w:r>
              <w:rPr>
                <w:rFonts w:ascii="Times New Roman" w:hAnsi="Times New Roman"/>
                <w:color w:val="auto"/>
              </w:rPr>
              <w:t xml:space="preserve">项目实施保障方案：内容包括但不限于项目实施人员组织、项目进度管理、实施质量管理等。方案优于招标文件要求得5分；符合招标文件要求得3分；不符合招标文件要求或未提供的不得分。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5</w:t>
            </w:r>
            <w:r>
              <w:rPr>
                <w:rFonts w:hint="eastAsia" w:ascii="Times New Roman" w:hAnsi="Times New Roman"/>
                <w:color w:val="000000"/>
                <w:lang w:val="en-US" w:eastAsia="zh-CN"/>
              </w:rPr>
              <w:t xml:space="preserve">分</w:t>
            </w:r>
            <w:bookmarkEnd w:id="231"/>
            <w:r/>
            <w:bookmarkEnd w:id="232"/>
            <w:r/>
            <w:bookmarkEnd w:id="233"/>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bookmarkStart w:id="234" w:name="OLE_LINK3"/>
            <w:r>
              <w:rPr>
                <w:rFonts w:hint="eastAsia" w:ascii="Times New Roman" w:hAnsi="Times New Roman"/>
                <w:color w:val="auto"/>
                <w:lang w:val="en-US" w:eastAsia="zh-CN"/>
              </w:rPr>
              <w:t xml:space="preserve">8、</w:t>
            </w:r>
            <w:r>
              <w:rPr>
                <w:rFonts w:ascii="Times New Roman" w:hAnsi="Times New Roman"/>
                <w:color w:val="auto"/>
              </w:rPr>
              <w:t xml:space="preserve">试运行期应急保障方案</w:t>
            </w:r>
            <w:bookmarkEnd w:id="234"/>
            <w:r>
              <w:rPr>
                <w:rFonts w:ascii="Times New Roman" w:hAnsi="Times New Roman"/>
                <w:color w:val="auto"/>
              </w:rPr>
              <w:t xml:space="preserve">：方案内容应包含应急人员组织架构、试运行保障、配套服务承诺、故障应急响应能力等多个维度。方案优于招标文件要求得5分；符合招标文件要求得3分；不符合招标文件要求或未提供的不得分。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5</w:t>
            </w:r>
            <w:r>
              <w:rPr>
                <w:rFonts w:hint="eastAsia" w:ascii="Times New Roman" w:hAnsi="Times New Roman"/>
                <w:color w:val="000000"/>
                <w:lang w:val="en-US" w:eastAsia="zh-CN"/>
              </w:rPr>
              <w:t xml:space="preserve">分</w:t>
            </w:r>
            <w:bookmarkEnd w:id="223"/>
            <w:r/>
            <w:bookmarkEnd w:id="224"/>
            <w:r/>
            <w:bookmarkEnd w:id="225"/>
            <w:r/>
            <w:bookmarkEnd w:id="226"/>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restart"/>
            <w:textDirection w:val="lrTb"/>
            <w:noWrap w:val="false"/>
          </w:tcPr>
          <w:p>
            <w:pPr>
              <w:pStyle w:val="767"/>
              <w:jc w:val="center"/>
              <w:rPr>
                <w:rFonts w:hint="eastAsia" w:ascii="Times New Roman" w:hAnsi="Times New Roman" w:eastAsia="宋体"/>
                <w:color w:val="000000"/>
                <w:lang w:val="en-US" w:eastAsia="zh-CN"/>
              </w:rPr>
            </w:pPr>
            <w:r>
              <w:rPr>
                <w:rFonts w:hint="eastAsia" w:ascii="Times New Roman" w:hAnsi="Times New Roman"/>
                <w:color w:val="000000"/>
                <w:lang w:val="en-US" w:eastAsia="zh-CN"/>
              </w:rPr>
              <w:t xml:space="preserve">4</w:t>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restart"/>
            <w:textDirection w:val="lrTb"/>
            <w:noWrap w:val="false"/>
          </w:tcPr>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功能演示</w:t>
            </w:r>
            <w:r/>
          </w:p>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（15分）</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727" w:type="dxa"/>
            <w:vAlign w:val="center"/>
            <w:textDirection w:val="lrTb"/>
            <w:noWrap w:val="false"/>
          </w:tcPr>
          <w:p>
            <w:pPr>
              <w:pStyle w:val="767"/>
              <w:rPr>
                <w:rFonts w:ascii="Times New Roman" w:hAnsi="Times New Roman"/>
                <w:color w:val="auto"/>
              </w:rPr>
            </w:pPr>
            <w:r/>
            <w:bookmarkStart w:id="235" w:name="OLE_LINK12"/>
            <w:r>
              <w:rPr>
                <w:rFonts w:ascii="Times New Roman" w:hAnsi="Times New Roman"/>
                <w:color w:val="auto"/>
              </w:rPr>
              <w:t xml:space="preserve">投标人需按照招标文件规定的演示内容制作演示视</w:t>
            </w:r>
            <w:r>
              <w:rPr>
                <w:rFonts w:ascii="Times New Roman" w:hAnsi="Times New Roman"/>
                <w:color w:val="auto"/>
              </w:rPr>
              <w:t xml:space="preserve">频文件，视频文件的格式为*.mp4或*.avi，投标人须将视频文件分段压缩为*.zip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演示者须根据投标内容进行现场讲解演示，演示者须同步出镜，视频帧须保持前后连续性，不得使用剪辑嫁接后期制作而成)，时长不超过 15 分钟。如不按以上要求摄录，视频演示不得分。</w:t>
            </w:r>
            <w:bookmarkEnd w:id="235"/>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bookmarkStart w:id="236" w:name="_Hlk230249405"/>
            <w:r/>
            <w:bookmarkStart w:id="237" w:name="OLE_LINK31"/>
            <w:r/>
            <w:bookmarkStart w:id="238" w:name="OLE_LINK18"/>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top"/>
            <w:textDirection w:val="lrTb"/>
            <w:noWrap w:val="false"/>
          </w:tcPr>
          <w:p>
            <w:pPr>
              <w:pStyle w:val="767"/>
              <w:rPr>
                <w:rFonts w:ascii="Times New Roman" w:hAnsi="Times New Roman"/>
                <w:color w:val="auto"/>
              </w:rPr>
            </w:pPr>
            <w:r>
              <w:rPr>
                <w:rFonts w:ascii="Times New Roman" w:hAnsi="Times New Roman"/>
                <w:color w:val="auto"/>
              </w:rPr>
              <w:t xml:space="preserve">1、演示站位运维质控周期、运维单位配置等信息，可按照站点查询运维执行情况。</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ascii="Times New Roman" w:hAnsi="Times New Roman"/>
                <w:color w:val="000000"/>
              </w:rPr>
              <w:t xml:space="preserve">1</w:t>
            </w:r>
            <w:r>
              <w:rPr>
                <w:rFonts w:hint="eastAsia" w:ascii="Times New Roman" w:hAnsi="Times New Roman"/>
                <w:color w:val="000000"/>
              </w:rPr>
              <w:t xml:space="preserve">.5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top"/>
            <w:textDirection w:val="lrTb"/>
            <w:noWrap w:val="false"/>
          </w:tcPr>
          <w:p>
            <w:pPr>
              <w:pStyle w:val="767"/>
              <w:rPr>
                <w:rFonts w:ascii="Times New Roman" w:hAnsi="Times New Roman"/>
                <w:color w:val="auto"/>
              </w:rPr>
            </w:pPr>
            <w:r>
              <w:rPr>
                <w:rFonts w:ascii="Times New Roman" w:hAnsi="Times New Roman"/>
                <w:color w:val="auto"/>
              </w:rPr>
              <w:t xml:space="preserve">2、演示超期未运维情况能有效进行报警及推送，管理人员及运维单位可对报警进行闭环跟踪处置。</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1.5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top"/>
            <w:textDirection w:val="lrTb"/>
            <w:noWrap w:val="false"/>
          </w:tcPr>
          <w:p>
            <w:pPr>
              <w:pStyle w:val="767"/>
              <w:rPr>
                <w:rFonts w:ascii="Times New Roman" w:hAnsi="Times New Roman"/>
                <w:color w:val="auto"/>
              </w:rPr>
            </w:pPr>
            <w:r>
              <w:rPr>
                <w:rFonts w:ascii="Times New Roman" w:hAnsi="Times New Roman"/>
                <w:color w:val="auto"/>
              </w:rPr>
              <w:t xml:space="preserve">3、演示数据标注功能，数据标注可关联监测数据，查阅站点数据时支持查看关联数据标注信息。</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1.5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top"/>
            <w:textDirection w:val="lrTb"/>
            <w:noWrap w:val="false"/>
          </w:tcPr>
          <w:p>
            <w:pPr>
              <w:pStyle w:val="767"/>
              <w:rPr>
                <w:rFonts w:ascii="Times New Roman" w:hAnsi="Times New Roman"/>
                <w:color w:val="auto"/>
              </w:rPr>
            </w:pPr>
            <w:r>
              <w:rPr>
                <w:rFonts w:ascii="Times New Roman" w:hAnsi="Times New Roman"/>
                <w:color w:val="auto"/>
              </w:rPr>
              <w:t xml:space="preserve">4、演示异常报警线索配置及产生报警信息，支持超标报警、恒值报警、异常值报警类型。</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1.5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top"/>
            <w:textDirection w:val="lrTb"/>
            <w:noWrap w:val="false"/>
          </w:tcPr>
          <w:p>
            <w:pPr>
              <w:pStyle w:val="767"/>
              <w:rPr>
                <w:rFonts w:ascii="Times New Roman" w:hAnsi="Times New Roman"/>
                <w:color w:val="auto"/>
              </w:rPr>
            </w:pPr>
            <w:r>
              <w:rPr>
                <w:rFonts w:ascii="Times New Roman" w:hAnsi="Times New Roman"/>
                <w:color w:val="auto"/>
              </w:rPr>
              <w:t xml:space="preserve">5、演示报警闭环管理信息，体现园企联动处理流程，提前报备报警可自动闭环。</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1.5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top"/>
            <w:textDirection w:val="lrTb"/>
            <w:noWrap w:val="false"/>
          </w:tcPr>
          <w:p>
            <w:pPr>
              <w:pStyle w:val="767"/>
              <w:rPr>
                <w:rFonts w:ascii="Times New Roman" w:hAnsi="Times New Roman"/>
                <w:color w:val="auto"/>
              </w:rPr>
            </w:pPr>
            <w:r>
              <w:rPr>
                <w:rFonts w:ascii="Times New Roman" w:hAnsi="Times New Roman"/>
                <w:color w:val="auto"/>
              </w:rPr>
              <w:t xml:space="preserve">6、演示企业储罐基础档案信息，监测点位信息、可查询储罐监测点及预警配置信息。</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1.5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top"/>
            <w:textDirection w:val="lrTb"/>
            <w:noWrap w:val="false"/>
          </w:tcPr>
          <w:p>
            <w:pPr>
              <w:pStyle w:val="767"/>
              <w:rPr>
                <w:rFonts w:ascii="Times New Roman" w:hAnsi="Times New Roman"/>
                <w:color w:val="auto"/>
              </w:rPr>
            </w:pPr>
            <w:r>
              <w:rPr>
                <w:rFonts w:ascii="Times New Roman" w:hAnsi="Times New Roman"/>
                <w:color w:val="auto"/>
              </w:rPr>
              <w:t xml:space="preserve">7、演示企业工况运行概况分析，可根据时间查询工况运行时段图，点击运行图可查看具体储罐工况趋势信息。</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1.5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top"/>
            <w:textDirection w:val="lrTb"/>
            <w:noWrap w:val="false"/>
          </w:tcPr>
          <w:p>
            <w:pPr>
              <w:pStyle w:val="767"/>
              <w:rPr>
                <w:rFonts w:ascii="Times New Roman" w:hAnsi="Times New Roman"/>
                <w:color w:val="auto"/>
              </w:rPr>
            </w:pPr>
            <w:r>
              <w:rPr>
                <w:rFonts w:ascii="Times New Roman" w:hAnsi="Times New Roman"/>
                <w:color w:val="auto"/>
              </w:rPr>
              <w:t xml:space="preserve">8、演示大气污染物热力图演变情况，展示随着时间变化的情况下大气污染物浓度变化及覆盖范围。</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1.5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top"/>
            <w:textDirection w:val="lrTb"/>
            <w:noWrap w:val="false"/>
          </w:tcPr>
          <w:p>
            <w:pPr>
              <w:pStyle w:val="767"/>
              <w:rPr>
                <w:rFonts w:ascii="Times New Roman" w:hAnsi="Times New Roman"/>
                <w:color w:val="auto"/>
              </w:rPr>
            </w:pPr>
            <w:r>
              <w:rPr>
                <w:rFonts w:ascii="Times New Roman" w:hAnsi="Times New Roman"/>
                <w:color w:val="auto"/>
              </w:rPr>
              <w:t xml:space="preserve">9、溯源模型与风向、企业特征污染物之间关联逻辑，体现整体溯源效果与溯源过程。</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1.5</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000000" w:sz="8" w:space="0"/>
              <w:left w:val="single" w:color="000000" w:sz="8" w:space="0"/>
              <w:bottom w:val="single" w:color="000000" w:sz="8"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112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000000" w:sz="8" w:space="0"/>
              <w:right w:val="single" w:color="000000" w:sz="8" w:space="0"/>
            </w:tcBorders>
            <w:tcW w:w="6913" w:type="dxa"/>
            <w:vAlign w:val="top"/>
            <w:textDirection w:val="lrTb"/>
            <w:noWrap w:val="false"/>
          </w:tcPr>
          <w:p>
            <w:pPr>
              <w:pStyle w:val="767"/>
              <w:numPr>
                <w:ilvl w:val="0"/>
                <w:numId w:val="7"/>
              </w:numPr>
              <w:rPr>
                <w:rFonts w:ascii="Times New Roman" w:hAnsi="Times New Roman"/>
                <w:color w:val="auto"/>
              </w:rPr>
            </w:pPr>
            <w:r>
              <w:rPr>
                <w:rFonts w:ascii="Times New Roman" w:hAnsi="Times New Roman"/>
                <w:color w:val="auto"/>
              </w:rPr>
              <w:t xml:space="preserve">演示移动走航、无人机等监测数据分析功能，同时根据走航等结果形成重点管控区域分析。</w:t>
            </w:r>
            <w:r/>
          </w:p>
          <w:p>
            <w:pPr>
              <w:pStyle w:val="767"/>
              <w:numPr>
                <w:ilvl w:val="0"/>
                <w:numId w:val="0"/>
              </w:numPr>
              <w:rPr>
                <w:rFonts w:ascii="Times New Roman" w:hAnsi="Times New Roman"/>
                <w:color w:val="auto"/>
              </w:rPr>
            </w:pPr>
            <w:r>
              <w:rPr>
                <w:rFonts w:hint="eastAsia" w:ascii="Times New Roman" w:hAnsi="Times New Roman"/>
                <w:b/>
                <w:bCs/>
                <w:color w:val="auto"/>
                <w:lang w:eastAsia="zh-CN"/>
              </w:rPr>
              <w:t xml:space="preserve">（以上每提供一个功能点演示且全部满足要求的，得1.5分。未提供或演示不完整的不得分。）</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color w:val="000000"/>
              </w:rPr>
            </w:pPr>
            <w:r>
              <w:rPr>
                <w:rFonts w:hint="eastAsia" w:ascii="Times New Roman" w:hAnsi="Times New Roman"/>
                <w:color w:val="000000"/>
              </w:rPr>
              <w:t xml:space="preserve">1.5</w:t>
            </w:r>
            <w:r>
              <w:rPr>
                <w:rFonts w:hint="eastAsia" w:ascii="Times New Roman" w:hAnsi="Times New Roman"/>
                <w:color w:val="000000"/>
                <w:lang w:val="en-US" w:eastAsia="zh-CN"/>
              </w:rPr>
              <w:t xml:space="preserve">分</w:t>
            </w:r>
            <w:bookmarkEnd w:id="236"/>
            <w:r/>
            <w:bookmarkEnd w:id="237"/>
            <w:r/>
            <w:bookmarkEnd w:id="238"/>
            <w:r/>
            <w:r/>
          </w:p>
        </w:tc>
      </w:tr>
      <w:tr>
        <w:trPr>
          <w:jc w:val="center"/>
          <w:trHeight w:val="567"/>
        </w:trPr>
        <w:tc>
          <w:tcPr>
            <w:shd w:val="clear" w:color="auto" w:fill="ffffff"/>
            <w:tcBorders>
              <w:top w:val="single" w:color="000000" w:sz="8" w:space="0"/>
              <w:left w:val="single" w:color="000000" w:sz="8" w:space="0"/>
              <w:bottom w:val="single" w:color="auto" w:sz="4" w:space="0"/>
              <w:right w:val="single" w:color="000000" w:sz="8" w:space="0"/>
            </w:tcBorders>
            <w:tcW w:w="642" w:type="dxa"/>
            <w:vAlign w:val="center"/>
            <w:textDirection w:val="lrTb"/>
            <w:noWrap w:val="false"/>
          </w:tcPr>
          <w:p>
            <w:pPr>
              <w:pStyle w:val="767"/>
              <w:jc w:val="center"/>
              <w:rPr>
                <w:rFonts w:hint="eastAsia" w:ascii="Times New Roman" w:hAnsi="Times New Roman" w:eastAsia="宋体"/>
                <w:color w:val="000000"/>
                <w:lang w:val="en-US" w:eastAsia="zh-CN"/>
              </w:rPr>
            </w:pPr>
            <w:r>
              <w:rPr>
                <w:rFonts w:hint="eastAsia" w:ascii="Times New Roman" w:hAnsi="Times New Roman"/>
                <w:color w:val="000000"/>
                <w:lang w:val="en-US" w:eastAsia="zh-CN"/>
              </w:rPr>
              <w:t xml:space="preserve">5</w:t>
            </w:r>
            <w:r/>
          </w:p>
        </w:tc>
        <w:tc>
          <w:tcPr>
            <w:shd w:val="clear" w:color="auto" w:fill="ffffff"/>
            <w:tcBorders>
              <w:top w:val="single" w:color="000000" w:sz="8" w:space="0"/>
              <w:left w:val="single" w:color="000000" w:sz="8" w:space="0"/>
              <w:bottom w:val="single" w:color="auto" w:sz="4" w:space="0"/>
              <w:right w:val="single" w:color="000000" w:sz="8" w:space="0"/>
            </w:tcBorders>
            <w:tcW w:w="1122" w:type="dxa"/>
            <w:vAlign w:val="center"/>
            <w:textDirection w:val="lrTb"/>
            <w:noWrap w:val="false"/>
          </w:tcPr>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供应商综合实力</w:t>
            </w:r>
            <w:r/>
          </w:p>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（3分）</w:t>
            </w:r>
            <w:r/>
          </w:p>
        </w:tc>
        <w:tc>
          <w:tcPr>
            <w:shd w:val="clear" w:color="auto" w:fill="ffffff"/>
            <w:tcBorders>
              <w:top w:val="single" w:color="000000" w:sz="8" w:space="0"/>
              <w:left w:val="single" w:color="000000" w:sz="8" w:space="0"/>
              <w:bottom w:val="single" w:color="auto" w:sz="4"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rPr>
                <w:rFonts w:hint="eastAsia" w:ascii="Times New Roman" w:hAnsi="Times New Roman"/>
                <w:color w:val="auto"/>
                <w:lang w:val="en-US" w:eastAsia="zh-CN"/>
              </w:rPr>
              <w:t xml:space="preserve">投标人具有有效的信息安全管理体系认证证书、具有有效的信息技术服务管理体系认证证书、具有有效的环境管理体系认证证书；每提供一个得1分，满分3分。</w:t>
            </w:r>
            <w:r/>
          </w:p>
          <w:p>
            <w:pPr>
              <w:pStyle w:val="767"/>
              <w:rPr>
                <w:rFonts w:ascii="Times New Roman" w:hAnsi="Times New Roman"/>
                <w:color w:val="auto"/>
              </w:rPr>
            </w:pPr>
            <w:r>
              <w:rPr>
                <w:rFonts w:hint="eastAsia" w:ascii="Times New Roman" w:hAnsi="Times New Roman"/>
                <w:b/>
                <w:bCs/>
                <w:color w:val="auto"/>
                <w:lang w:eastAsia="zh-CN"/>
              </w:rPr>
              <w:t xml:space="preserve">（提供证书，原件扫描上传）</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eastAsia="宋体"/>
                <w:color w:val="000000"/>
                <w:lang w:val="en-US" w:eastAsia="zh-CN"/>
              </w:rPr>
            </w:pPr>
            <w:r>
              <w:rPr>
                <w:rFonts w:ascii="Times New Roman" w:hAnsi="Times New Roman"/>
                <w:color w:val="000000"/>
              </w:rPr>
              <w:t xml:space="preserve">3</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auto" w:sz="4" w:space="0"/>
              <w:left w:val="single" w:color="000000" w:sz="8" w:space="0"/>
              <w:bottom w:val="single" w:color="auto" w:sz="4" w:space="0"/>
              <w:right w:val="single" w:color="000000" w:sz="8" w:space="0"/>
            </w:tcBorders>
            <w:tcW w:w="642" w:type="dxa"/>
            <w:vAlign w:val="center"/>
            <w:textDirection w:val="lrTb"/>
            <w:noWrap w:val="false"/>
          </w:tcPr>
          <w:p>
            <w:pPr>
              <w:pStyle w:val="767"/>
              <w:jc w:val="center"/>
              <w:rPr>
                <w:rFonts w:hint="eastAsia" w:ascii="Times New Roman" w:hAnsi="Times New Roman" w:eastAsia="宋体"/>
                <w:color w:val="000000"/>
                <w:lang w:val="en-US" w:eastAsia="zh-CN"/>
              </w:rPr>
            </w:pPr>
            <w:r>
              <w:rPr>
                <w:rFonts w:hint="eastAsia" w:ascii="Times New Roman" w:hAnsi="Times New Roman"/>
                <w:color w:val="000000"/>
                <w:lang w:val="en-US" w:eastAsia="zh-CN"/>
              </w:rPr>
              <w:t xml:space="preserve">6</w:t>
            </w:r>
            <w:r/>
          </w:p>
        </w:tc>
        <w:tc>
          <w:tcPr>
            <w:shd w:val="clear" w:color="auto" w:fill="ffffff"/>
            <w:tcBorders>
              <w:top w:val="single" w:color="auto" w:sz="4" w:space="0"/>
              <w:left w:val="single" w:color="000000" w:sz="8" w:space="0"/>
              <w:bottom w:val="single" w:color="auto" w:sz="4" w:space="0"/>
              <w:right w:val="single" w:color="000000" w:sz="8" w:space="0"/>
            </w:tcBorders>
            <w:tcW w:w="1122" w:type="dxa"/>
            <w:vAlign w:val="center"/>
            <w:textDirection w:val="lrTb"/>
            <w:noWrap w:val="false"/>
          </w:tcPr>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供应商研发能力</w:t>
            </w:r>
            <w:r/>
          </w:p>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（6</w:t>
            </w:r>
            <w:r>
              <w:rPr>
                <w:rFonts w:hint="eastAsia" w:ascii="Times New Roman" w:hAnsi="Times New Roman"/>
                <w:color w:val="000000"/>
                <w:lang w:val="en-US" w:eastAsia="zh-CN"/>
              </w:rPr>
              <w:t xml:space="preserve">分</w:t>
            </w:r>
            <w:r>
              <w:rPr>
                <w:rFonts w:ascii="Times New Roman" w:hAnsi="Times New Roman"/>
                <w:color w:val="000000"/>
              </w:rPr>
              <w:t xml:space="preserve">）</w:t>
            </w:r>
            <w:r/>
          </w:p>
        </w:tc>
        <w:tc>
          <w:tcPr>
            <w:shd w:val="clear" w:color="auto" w:fill="ffffff"/>
            <w:tcBorders>
              <w:top w:val="single" w:color="auto" w:sz="4" w:space="0"/>
              <w:left w:val="single" w:color="000000" w:sz="8" w:space="0"/>
              <w:bottom w:val="single" w:color="auto" w:sz="4" w:space="0"/>
              <w:right w:val="single" w:color="000000" w:sz="8" w:space="0"/>
            </w:tcBorders>
            <w:tcW w:w="6913" w:type="dxa"/>
            <w:vAlign w:val="center"/>
            <w:textDirection w:val="lrTb"/>
            <w:noWrap w:val="false"/>
          </w:tcPr>
          <w:p>
            <w:pPr>
              <w:pStyle w:val="767"/>
              <w:ind w:firstLine="420"/>
              <w:rPr>
                <w:rFonts w:hint="eastAsia" w:ascii="Times New Roman" w:hAnsi="Times New Roman"/>
                <w:color w:val="auto"/>
                <w:highlight w:val="none"/>
              </w:rPr>
            </w:pPr>
            <w:r>
              <w:rPr>
                <w:rFonts w:ascii="Times New Roman" w:hAnsi="Times New Roman"/>
                <w:color w:val="auto"/>
              </w:rPr>
              <w:t xml:space="preserve">投标人提供与本项目相关的软件著作权登记证书，包含</w:t>
            </w:r>
            <w:r>
              <w:rPr>
                <w:rFonts w:hint="eastAsia" w:ascii="Times New Roman" w:hAnsi="Times New Roman"/>
                <w:color w:val="auto"/>
              </w:rPr>
              <w:t xml:space="preserve">：</w:t>
            </w:r>
            <w:r>
              <w:rPr>
                <w:rFonts w:ascii="Times New Roman" w:hAnsi="Times New Roman"/>
                <w:color w:val="auto"/>
              </w:rPr>
              <w:t xml:space="preserve">大气环境预警溯源类、移动监测分析类、环境监控预警类、泄漏检测与修复类</w:t>
            </w:r>
            <w:r>
              <w:rPr>
                <w:rFonts w:hint="eastAsia" w:ascii="Times New Roman" w:hAnsi="Times New Roman"/>
                <w:color w:val="auto"/>
              </w:rPr>
              <w:t xml:space="preserve">，每提供一个类型的著作权证书得1.5分，满分6分。</w:t>
            </w:r>
            <w:r/>
          </w:p>
          <w:p>
            <w:pPr>
              <w:pStyle w:val="767"/>
              <w:ind w:firstLine="0"/>
              <w:rPr>
                <w:rFonts w:hint="eastAsia" w:ascii="Times New Roman" w:hAnsi="Times New Roman"/>
                <w:color w:val="auto"/>
              </w:rPr>
            </w:pPr>
            <w:r>
              <w:rPr>
                <w:rFonts w:hint="eastAsia" w:ascii="Times New Roman" w:hAnsi="Times New Roman"/>
                <w:color w:val="auto"/>
                <w:highlight w:val="none"/>
              </w:rPr>
            </w:r>
            <w:r>
              <w:rPr>
                <w:rFonts w:hint="eastAsia" w:ascii="Times New Roman" w:hAnsi="Times New Roman"/>
                <w:b/>
                <w:bCs/>
                <w:color w:val="auto"/>
                <w:lang w:eastAsia="zh-CN"/>
              </w:rPr>
              <w:t xml:space="preserve">（提供证书，原件扫描上传）</w:t>
            </w:r>
            <w:r/>
            <w:r>
              <w:rPr>
                <w:rFonts w:hint="eastAsia" w:ascii="Times New Roman" w:hAnsi="Times New Roman"/>
                <w:color w:val="auto"/>
                <w:highlight w:val="none"/>
              </w:rPr>
            </w:r>
            <w:r>
              <w:rPr>
                <w:rFonts w:hint="eastAsia" w:ascii="Times New Roman" w:hAnsi="Times New Roman"/>
                <w:color w:val="auto"/>
                <w:highlight w:val="none"/>
              </w:rP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eastAsia="宋体"/>
                <w:color w:val="000000"/>
                <w:lang w:val="en-US" w:eastAsia="zh-CN"/>
              </w:rPr>
            </w:pPr>
            <w:r>
              <w:rPr>
                <w:rFonts w:ascii="Times New Roman" w:hAnsi="Times New Roman"/>
                <w:color w:val="000000"/>
              </w:rPr>
              <w:t xml:space="preserve">6</w:t>
            </w:r>
            <w:r>
              <w:rPr>
                <w:rFonts w:hint="eastAsia" w:ascii="Times New Roman" w:hAnsi="Times New Roman"/>
                <w:color w:val="000000"/>
                <w:lang w:val="en-US" w:eastAsia="zh-CN"/>
              </w:rPr>
              <w:t xml:space="preserve">分</w:t>
            </w:r>
            <w:r/>
          </w:p>
        </w:tc>
      </w:tr>
      <w:tr>
        <w:trPr>
          <w:jc w:val="center"/>
          <w:trHeight w:val="567"/>
        </w:trPr>
        <w:tc>
          <w:tcPr>
            <w:shd w:val="clear" w:color="auto" w:fill="ffffff"/>
            <w:tcBorders>
              <w:top w:val="single" w:color="auto" w:sz="4" w:space="0"/>
              <w:left w:val="single" w:color="000000" w:sz="8" w:space="0"/>
              <w:right w:val="single" w:color="000000" w:sz="8" w:space="0"/>
            </w:tcBorders>
            <w:tcW w:w="642" w:type="dxa"/>
            <w:vAlign w:val="center"/>
            <w:vMerge w:val="restart"/>
            <w:textDirection w:val="lrTb"/>
            <w:noWrap w:val="false"/>
          </w:tcPr>
          <w:p>
            <w:pPr>
              <w:pStyle w:val="767"/>
              <w:jc w:val="center"/>
              <w:rPr>
                <w:rFonts w:hint="eastAsia" w:ascii="Times New Roman" w:hAnsi="Times New Roman" w:eastAsia="宋体"/>
                <w:color w:val="000000"/>
                <w:lang w:val="en-US" w:eastAsia="zh-CN"/>
              </w:rPr>
            </w:pPr>
            <w:r>
              <w:rPr>
                <w:rFonts w:hint="eastAsia" w:ascii="Times New Roman" w:hAnsi="Times New Roman"/>
                <w:color w:val="000000"/>
                <w:lang w:val="en-US" w:eastAsia="zh-CN"/>
              </w:rPr>
              <w:t xml:space="preserve">7</w:t>
            </w:r>
            <w:r/>
          </w:p>
        </w:tc>
        <w:tc>
          <w:tcPr>
            <w:shd w:val="clear" w:color="auto" w:fill="ffffff"/>
            <w:tcBorders>
              <w:top w:val="single" w:color="auto" w:sz="4" w:space="0"/>
              <w:left w:val="single" w:color="000000" w:sz="8" w:space="0"/>
              <w:right w:val="single" w:color="000000" w:sz="8" w:space="0"/>
            </w:tcBorders>
            <w:tcW w:w="1122" w:type="dxa"/>
            <w:vAlign w:val="center"/>
            <w:vMerge w:val="restart"/>
            <w:textDirection w:val="lrTb"/>
            <w:noWrap w:val="false"/>
          </w:tcPr>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人员配备情况</w:t>
            </w:r>
            <w:r/>
          </w:p>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（5分）</w:t>
            </w:r>
            <w:r/>
          </w:p>
        </w:tc>
        <w:tc>
          <w:tcPr>
            <w:shd w:val="clear" w:color="auto" w:fill="ffffff"/>
            <w:tcBorders>
              <w:top w:val="single" w:color="auto" w:sz="4" w:space="0"/>
              <w:left w:val="single" w:color="000000" w:sz="8" w:space="0"/>
              <w:bottom w:val="single" w:color="auto" w:sz="4" w:space="0"/>
              <w:right w:val="single" w:color="000000" w:sz="8" w:space="0"/>
            </w:tcBorders>
            <w:tcW w:w="6913" w:type="dxa"/>
            <w:vAlign w:val="center"/>
            <w:textDirection w:val="lrTb"/>
            <w:noWrap w:val="false"/>
          </w:tcPr>
          <w:p>
            <w:pPr>
              <w:pStyle w:val="767"/>
              <w:rPr>
                <w:rFonts w:ascii="Times New Roman" w:hAnsi="Times New Roman"/>
                <w:b/>
                <w:bCs/>
                <w:color w:val="auto"/>
              </w:rPr>
            </w:pPr>
            <w:r>
              <w:rPr>
                <w:rFonts w:ascii="Times New Roman" w:hAnsi="Times New Roman"/>
                <w:b/>
                <w:bCs/>
                <w:color w:val="auto"/>
              </w:rPr>
              <w:t xml:space="preserve">项目负责人：</w:t>
            </w:r>
            <w:r/>
          </w:p>
          <w:p>
            <w:pPr>
              <w:pStyle w:val="767"/>
              <w:ind w:firstLine="420"/>
              <w:rPr>
                <w:rFonts w:ascii="Times New Roman" w:hAnsi="Times New Roman"/>
                <w:color w:val="auto"/>
              </w:rPr>
            </w:pPr>
            <w:r>
              <w:rPr>
                <w:rFonts w:ascii="Times New Roman" w:hAnsi="Times New Roman"/>
                <w:color w:val="auto"/>
              </w:rPr>
              <w:t xml:space="preserve">具有住</w:t>
            </w:r>
            <w:r>
              <w:rPr>
                <w:rFonts w:hint="eastAsia" w:ascii="Times New Roman" w:hAnsi="Times New Roman"/>
                <w:color w:val="auto"/>
                <w:lang w:val="en-US" w:eastAsia="zh-CN"/>
              </w:rPr>
              <w:t xml:space="preserve">建</w:t>
            </w:r>
            <w:r>
              <w:rPr>
                <w:rFonts w:ascii="Times New Roman" w:hAnsi="Times New Roman"/>
                <w:color w:val="auto"/>
              </w:rPr>
              <w:t xml:space="preserve">部和生态环境部联合颁发的注册环保工程师证书得</w:t>
            </w:r>
            <w:r>
              <w:rPr>
                <w:rFonts w:hint="eastAsia" w:ascii="Times New Roman" w:hAnsi="Times New Roman"/>
                <w:color w:val="auto"/>
              </w:rPr>
              <w:t xml:space="preserve">2</w:t>
            </w:r>
            <w:r>
              <w:rPr>
                <w:rFonts w:ascii="Times New Roman" w:hAnsi="Times New Roman"/>
                <w:color w:val="auto"/>
              </w:rPr>
              <w:t xml:space="preserve">分。</w:t>
            </w:r>
            <w:r/>
          </w:p>
          <w:p>
            <w:pPr>
              <w:pStyle w:val="767"/>
              <w:rPr>
                <w:rFonts w:ascii="Times New Roman" w:hAnsi="Times New Roman"/>
                <w:color w:val="auto"/>
              </w:rPr>
            </w:pPr>
            <w:r>
              <w:rPr>
                <w:rFonts w:hint="eastAsia" w:ascii="宋体" w:hAnsi="宋体" w:eastAsia="宋体" w:cs="宋体"/>
                <w:b/>
                <w:color w:val="auto"/>
                <w:sz w:val="21"/>
                <w:szCs w:val="21"/>
              </w:rPr>
              <w:t xml:space="preserve">（提供证书及投标人为其缴纳近三个月内任意一个月的社保证明，原件扫描上传。）</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eastAsia="宋体"/>
                <w:color w:val="000000"/>
                <w:lang w:val="en-US" w:eastAsia="zh-CN"/>
              </w:rPr>
            </w:pPr>
            <w:r>
              <w:rPr>
                <w:rFonts w:hint="eastAsia" w:ascii="Times New Roman" w:hAnsi="Times New Roman"/>
                <w:color w:val="000000"/>
              </w:rPr>
              <w:t xml:space="preserve">2</w:t>
            </w:r>
            <w:r>
              <w:rPr>
                <w:rFonts w:hint="eastAsia" w:ascii="Times New Roman" w:hAnsi="Times New Roman"/>
                <w:color w:val="000000"/>
                <w:lang w:val="en-US" w:eastAsia="zh-CN"/>
              </w:rPr>
              <w:t xml:space="preserve">分</w:t>
            </w:r>
            <w:r/>
          </w:p>
        </w:tc>
      </w:tr>
      <w:tr>
        <w:trPr>
          <w:jc w:val="center"/>
          <w:trHeight w:val="875"/>
        </w:trPr>
        <w:tc>
          <w:tcPr>
            <w:shd w:val="clear" w:color="auto" w:fill="ffffff"/>
            <w:tcBorders>
              <w:top w:val="single" w:color="000000" w:sz="8" w:space="0"/>
              <w:left w:val="single" w:color="000000" w:sz="8" w:space="0"/>
              <w:bottom w:val="single" w:color="auto" w:sz="4" w:space="0"/>
              <w:right w:val="single" w:color="000000" w:sz="8" w:space="0"/>
            </w:tcBorders>
            <w:tcW w:w="642" w:type="dxa"/>
            <w:vAlign w:val="center"/>
            <w:vMerge w:val="continue"/>
            <w:textDirection w:val="lrTb"/>
            <w:noWrap w:val="false"/>
          </w:tcPr>
          <w:p>
            <w:pPr>
              <w:pStyle w:val="767"/>
              <w:jc w:val="center"/>
              <w:rPr>
                <w:rFonts w:ascii="Times New Roman" w:hAnsi="Times New Roman"/>
                <w:color w:val="000000"/>
              </w:rPr>
            </w:pPr>
            <w:r>
              <w:rPr>
                <w:rFonts w:ascii="Times New Roman" w:hAnsi="Times New Roman"/>
                <w:color w:val="000000"/>
              </w:rPr>
            </w:r>
            <w:r/>
          </w:p>
        </w:tc>
        <w:tc>
          <w:tcPr>
            <w:shd w:val="clear" w:color="auto" w:fill="ffffff"/>
            <w:tcBorders>
              <w:top w:val="single" w:color="000000" w:sz="8" w:space="0"/>
              <w:left w:val="single" w:color="000000" w:sz="8" w:space="0"/>
              <w:bottom w:val="single" w:color="auto" w:sz="4" w:space="0"/>
              <w:right w:val="single" w:color="000000" w:sz="8" w:space="0"/>
            </w:tcBorders>
            <w:tcW w:w="1122" w:type="dxa"/>
            <w:vAlign w:val="center"/>
            <w:vMerge w:val="continue"/>
            <w:textDirection w:val="lrTb"/>
            <w:noWrap w:val="false"/>
          </w:tcPr>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r>
            <w:r/>
          </w:p>
        </w:tc>
        <w:tc>
          <w:tcPr>
            <w:shd w:val="clear" w:color="auto" w:fill="ffffff"/>
            <w:tcBorders>
              <w:top w:val="single" w:color="auto" w:sz="4" w:space="0"/>
              <w:left w:val="single" w:color="000000" w:sz="8" w:space="0"/>
              <w:bottom w:val="single" w:color="auto" w:sz="4" w:space="0"/>
              <w:right w:val="single" w:color="000000" w:sz="8" w:space="0"/>
            </w:tcBorders>
            <w:tcW w:w="6913" w:type="dxa"/>
            <w:vAlign w:val="center"/>
            <w:textDirection w:val="lrTb"/>
            <w:noWrap w:val="false"/>
          </w:tcPr>
          <w:p>
            <w:pPr>
              <w:pStyle w:val="767"/>
              <w:rPr>
                <w:rFonts w:ascii="Times New Roman" w:hAnsi="Times New Roman"/>
                <w:b/>
                <w:bCs/>
                <w:color w:val="auto"/>
              </w:rPr>
            </w:pPr>
            <w:r>
              <w:rPr>
                <w:rFonts w:ascii="Times New Roman" w:hAnsi="Times New Roman"/>
                <w:b/>
                <w:bCs/>
                <w:color w:val="auto"/>
              </w:rPr>
              <w:t xml:space="preserve">项目组</w:t>
            </w:r>
            <w:r>
              <w:rPr>
                <w:rFonts w:hint="eastAsia" w:ascii="Times New Roman" w:hAnsi="Times New Roman"/>
                <w:b/>
                <w:bCs/>
                <w:color w:val="auto"/>
                <w:lang w:val="en-US" w:eastAsia="zh-CN"/>
              </w:rPr>
              <w:t xml:space="preserve">成</w:t>
            </w:r>
            <w:r>
              <w:rPr>
                <w:rFonts w:ascii="Times New Roman" w:hAnsi="Times New Roman"/>
                <w:b/>
                <w:bCs/>
                <w:color w:val="auto"/>
              </w:rPr>
              <w:t xml:space="preserve">员</w:t>
            </w:r>
            <w:r>
              <w:rPr>
                <w:rFonts w:hint="eastAsia" w:ascii="Times New Roman" w:hAnsi="Times New Roman"/>
                <w:b/>
                <w:bCs/>
                <w:color w:val="auto"/>
                <w:lang w:eastAsia="zh-CN"/>
              </w:rPr>
              <w:t xml:space="preserve">（</w:t>
            </w:r>
            <w:r>
              <w:rPr>
                <w:rFonts w:hint="eastAsia" w:ascii="Times New Roman" w:hAnsi="Times New Roman"/>
                <w:b/>
                <w:bCs/>
                <w:color w:val="auto"/>
                <w:lang w:val="en-US" w:eastAsia="zh-CN"/>
              </w:rPr>
              <w:t xml:space="preserve">不含</w:t>
            </w:r>
            <w:r>
              <w:rPr>
                <w:rFonts w:ascii="Times New Roman" w:hAnsi="Times New Roman"/>
                <w:b/>
                <w:bCs/>
                <w:color w:val="auto"/>
              </w:rPr>
              <w:t xml:space="preserve">项目负责人</w:t>
            </w:r>
            <w:r>
              <w:rPr>
                <w:rFonts w:hint="eastAsia" w:ascii="Times New Roman" w:hAnsi="Times New Roman"/>
                <w:b/>
                <w:bCs/>
                <w:color w:val="auto"/>
                <w:lang w:eastAsia="zh-CN"/>
              </w:rPr>
              <w:t xml:space="preserve">）</w:t>
            </w:r>
            <w:r>
              <w:rPr>
                <w:rFonts w:ascii="Times New Roman" w:hAnsi="Times New Roman"/>
                <w:b/>
                <w:bCs/>
                <w:color w:val="auto"/>
              </w:rPr>
              <w:t xml:space="preserve">：</w:t>
            </w:r>
            <w:r/>
          </w:p>
          <w:p>
            <w:pPr>
              <w:pStyle w:val="767"/>
              <w:ind w:firstLine="420"/>
              <w:rPr>
                <w:rFonts w:ascii="Times New Roman" w:hAnsi="Times New Roman"/>
                <w:color w:val="auto"/>
              </w:rPr>
            </w:pPr>
            <w:r/>
            <w:bookmarkStart w:id="239" w:name="OLE_LINK50"/>
            <w:r>
              <w:rPr>
                <w:rFonts w:ascii="Times New Roman" w:hAnsi="Times New Roman"/>
                <w:color w:val="auto"/>
              </w:rPr>
              <w:t xml:space="preserve">具有人社部和工信部联合颁发的系统架构设计师（软考）</w:t>
            </w:r>
            <w:bookmarkEnd w:id="239"/>
            <w:r>
              <w:rPr>
                <w:rFonts w:ascii="Times New Roman" w:hAnsi="Times New Roman"/>
                <w:color w:val="auto"/>
              </w:rPr>
              <w:t xml:space="preserve">、</w:t>
            </w:r>
            <w:r>
              <w:rPr>
                <w:rFonts w:hint="eastAsia" w:ascii="Times New Roman" w:hAnsi="Times New Roman"/>
                <w:color w:val="auto"/>
              </w:rPr>
              <w:t xml:space="preserve">具有</w:t>
            </w:r>
            <w:r>
              <w:rPr>
                <w:rFonts w:ascii="Times New Roman" w:hAnsi="Times New Roman"/>
                <w:color w:val="auto"/>
              </w:rPr>
              <w:t xml:space="preserve">人社部和工信部联合颁发的</w:t>
            </w:r>
            <w:r>
              <w:rPr>
                <w:rFonts w:hint="eastAsia" w:ascii="Times New Roman" w:hAnsi="Times New Roman"/>
                <w:color w:val="auto"/>
              </w:rPr>
              <w:t xml:space="preserve">网络规划设计师</w:t>
            </w:r>
            <w:r>
              <w:rPr>
                <w:rFonts w:ascii="Times New Roman" w:hAnsi="Times New Roman"/>
                <w:color w:val="auto"/>
              </w:rPr>
              <w:t xml:space="preserve">（软考）</w:t>
            </w:r>
            <w:r>
              <w:rPr>
                <w:rFonts w:hint="eastAsia" w:ascii="Times New Roman" w:hAnsi="Times New Roman"/>
                <w:color w:val="auto"/>
              </w:rPr>
              <w:t xml:space="preserve">、</w:t>
            </w:r>
            <w:r>
              <w:rPr>
                <w:rFonts w:ascii="Times New Roman" w:hAnsi="Times New Roman"/>
                <w:color w:val="auto"/>
              </w:rPr>
              <w:t xml:space="preserve">具有人社部和生态环境部联合颁发的环境影响评价工程师</w:t>
            </w:r>
            <w:r>
              <w:rPr>
                <w:rFonts w:hint="eastAsia" w:ascii="Times New Roman" w:hAnsi="Times New Roman"/>
                <w:color w:val="auto"/>
              </w:rPr>
              <w:t xml:space="preserve">，</w:t>
            </w:r>
            <w:r>
              <w:rPr>
                <w:rFonts w:ascii="Times New Roman" w:hAnsi="Times New Roman"/>
                <w:color w:val="auto"/>
              </w:rPr>
              <w:t xml:space="preserve">每提供一个得1分，</w:t>
            </w:r>
            <w:r>
              <w:rPr>
                <w:rFonts w:hint="eastAsia" w:ascii="Times New Roman" w:hAnsi="Times New Roman"/>
                <w:color w:val="auto"/>
              </w:rPr>
              <w:t xml:space="preserve">满分3</w:t>
            </w:r>
            <w:r>
              <w:rPr>
                <w:rFonts w:ascii="Times New Roman" w:hAnsi="Times New Roman"/>
                <w:color w:val="auto"/>
              </w:rPr>
              <w:t xml:space="preserve">分。</w:t>
            </w:r>
            <w:r/>
          </w:p>
          <w:p>
            <w:pPr>
              <w:pStyle w:val="767"/>
              <w:rPr>
                <w:rFonts w:ascii="Times New Roman" w:hAnsi="Times New Roman"/>
                <w:color w:val="auto"/>
              </w:rPr>
            </w:pPr>
            <w:r>
              <w:rPr>
                <w:rFonts w:hint="eastAsia" w:ascii="宋体" w:hAnsi="宋体" w:eastAsia="宋体" w:cs="宋体"/>
                <w:b/>
                <w:color w:val="auto"/>
                <w:sz w:val="21"/>
                <w:szCs w:val="21"/>
              </w:rPr>
            </w:r>
            <w:r>
              <w:rPr>
                <w:rFonts w:ascii="SimSun" w:hAnsi="SimSun" w:eastAsia="SimSun" w:cs="SimSun"/>
                <w:b/>
                <w:color w:val="000000"/>
                <w:sz w:val="21"/>
              </w:rPr>
              <w:t xml:space="preserve">（提供证书及投标人为其缴纳近三个月内任意一个月的社保证明，原件扫描上传，一人多证不重复计分。）</w:t>
            </w:r>
            <w:r>
              <w:rPr>
                <w:rFonts w:hint="eastAsia" w:ascii="宋体" w:hAnsi="宋体" w:eastAsia="宋体" w:cs="宋体"/>
                <w:b/>
                <w:color w:val="auto"/>
                <w:sz w:val="21"/>
                <w:szCs w:val="21"/>
              </w:rPr>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eastAsia="宋体"/>
                <w:color w:val="000000"/>
                <w:lang w:val="en-US" w:eastAsia="zh-CN"/>
              </w:rPr>
            </w:pPr>
            <w:r>
              <w:rPr>
                <w:rFonts w:hint="eastAsia" w:ascii="Times New Roman" w:hAnsi="Times New Roman"/>
                <w:color w:val="000000"/>
              </w:rPr>
              <w:t xml:space="preserve">3</w:t>
            </w:r>
            <w:r>
              <w:rPr>
                <w:rFonts w:hint="eastAsia" w:ascii="Times New Roman" w:hAnsi="Times New Roman"/>
                <w:color w:val="000000"/>
                <w:lang w:val="en-US" w:eastAsia="zh-CN"/>
              </w:rPr>
              <w:t xml:space="preserve">分</w:t>
            </w:r>
            <w:r/>
          </w:p>
        </w:tc>
      </w:tr>
      <w:tr>
        <w:trPr>
          <w:jc w:val="center"/>
          <w:trHeight w:val="1032"/>
        </w:trPr>
        <w:tc>
          <w:tcPr>
            <w:shd w:val="clear" w:color="auto" w:fill="ffffff"/>
            <w:tcBorders>
              <w:top w:val="single" w:color="auto" w:sz="4" w:space="0"/>
              <w:left w:val="single" w:color="000000" w:sz="8" w:space="0"/>
              <w:bottom w:val="single" w:color="000000" w:sz="8" w:space="0"/>
              <w:right w:val="single" w:color="000000" w:sz="8" w:space="0"/>
            </w:tcBorders>
            <w:tcW w:w="642" w:type="dxa"/>
            <w:vAlign w:val="center"/>
            <w:textDirection w:val="lrTb"/>
            <w:noWrap w:val="false"/>
          </w:tcPr>
          <w:p>
            <w:pPr>
              <w:pStyle w:val="767"/>
              <w:jc w:val="center"/>
              <w:rPr>
                <w:rFonts w:hint="eastAsia" w:ascii="Times New Roman" w:hAnsi="Times New Roman" w:eastAsia="宋体"/>
                <w:color w:val="000000"/>
                <w:lang w:val="en-US" w:eastAsia="zh-CN"/>
              </w:rPr>
            </w:pPr>
            <w:r>
              <w:rPr>
                <w:rFonts w:hint="eastAsia" w:ascii="Times New Roman" w:hAnsi="Times New Roman"/>
                <w:color w:val="000000"/>
                <w:lang w:val="en-US" w:eastAsia="zh-CN"/>
              </w:rPr>
              <w:t xml:space="preserve">8</w:t>
            </w:r>
            <w:r/>
          </w:p>
        </w:tc>
        <w:tc>
          <w:tcPr>
            <w:shd w:val="clear" w:color="auto" w:fill="ffffff"/>
            <w:tcBorders>
              <w:top w:val="single" w:color="auto" w:sz="4" w:space="0"/>
              <w:left w:val="single" w:color="000000" w:sz="8" w:space="0"/>
              <w:bottom w:val="single" w:color="000000" w:sz="8" w:space="0"/>
              <w:right w:val="single" w:color="000000" w:sz="8" w:space="0"/>
            </w:tcBorders>
            <w:tcW w:w="1122" w:type="dxa"/>
            <w:vAlign w:val="center"/>
            <w:textDirection w:val="lrTb"/>
            <w:noWrap w:val="false"/>
          </w:tcPr>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业绩</w:t>
            </w:r>
            <w:r/>
          </w:p>
          <w:p>
            <w:pPr>
              <w:pStyle w:val="767"/>
              <w:jc w:val="center"/>
              <w:keepLines w:val="0"/>
              <w:keepNext w:val="0"/>
              <w:pageBreakBefore w:val="0"/>
              <w:spacing w:line="320" w:lineRule="exact"/>
              <w:widowControl w:val="off"/>
              <w:rPr>
                <w:rFonts w:ascii="Times New Roman" w:hAnsi="Times New Roman"/>
                <w:color w:val="000000"/>
              </w:rPr>
              <w:outlineLvl w:val="9"/>
            </w:pPr>
            <w:r>
              <w:rPr>
                <w:rFonts w:ascii="Times New Roman" w:hAnsi="Times New Roman"/>
                <w:color w:val="000000"/>
              </w:rPr>
              <w:t xml:space="preserve">（6分）</w:t>
            </w:r>
            <w:r/>
          </w:p>
        </w:tc>
        <w:tc>
          <w:tcPr>
            <w:shd w:val="clear" w:color="auto" w:fill="ffffff"/>
            <w:tcBorders>
              <w:top w:val="single" w:color="auto" w:sz="4" w:space="0"/>
              <w:left w:val="single" w:color="000000" w:sz="8" w:space="0"/>
              <w:bottom w:val="single" w:color="000000" w:sz="8" w:space="0"/>
              <w:right w:val="single" w:color="000000" w:sz="8" w:space="0"/>
            </w:tcBorders>
            <w:tcW w:w="6913" w:type="dxa"/>
            <w:vAlign w:val="center"/>
            <w:textDirection w:val="lrTb"/>
            <w:noWrap w:val="false"/>
          </w:tcPr>
          <w:p>
            <w:pPr>
              <w:pStyle w:val="767"/>
              <w:ind w:firstLine="420"/>
              <w:rPr>
                <w:rFonts w:ascii="Times New Roman" w:hAnsi="Times New Roman"/>
                <w:color w:val="auto"/>
              </w:rPr>
            </w:pPr>
            <w:r>
              <w:rPr>
                <w:rFonts w:hint="eastAsia" w:ascii="宋体" w:hAnsi="宋体" w:eastAsia="宋体" w:cs="宋体"/>
                <w:color w:val="auto"/>
                <w:sz w:val="21"/>
                <w:szCs w:val="21"/>
                <w:lang w:val="en-US" w:eastAsia="zh-CN"/>
              </w:rPr>
              <w:t xml:space="preserve">投标人202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年1月1日以来（以合同书签订时间为准）承担过类似业绩，</w:t>
            </w:r>
            <w:r>
              <w:rPr>
                <w:rFonts w:ascii="Times New Roman" w:hAnsi="Times New Roman"/>
                <w:color w:val="auto"/>
              </w:rPr>
              <w:t xml:space="preserve">每提供一个业绩得2分，最高得6分。</w:t>
            </w:r>
            <w:r/>
          </w:p>
          <w:p>
            <w:pPr>
              <w:pStyle w:val="767"/>
              <w:rPr>
                <w:rFonts w:ascii="Times New Roman" w:hAnsi="Times New Roman"/>
                <w:color w:val="auto"/>
              </w:rPr>
            </w:pPr>
            <w:r>
              <w:rPr>
                <w:rFonts w:hint="eastAsia" w:ascii="宋体" w:hAnsi="宋体" w:eastAsia="宋体" w:cs="宋体"/>
                <w:b/>
                <w:bCs/>
                <w:color w:val="auto"/>
                <w:sz w:val="21"/>
                <w:szCs w:val="21"/>
                <w:lang w:val="en-US" w:eastAsia="zh-CN"/>
              </w:rPr>
              <w:t xml:space="preserve">（提供合同，原件扫描上传）</w:t>
            </w:r>
            <w:r/>
          </w:p>
        </w:tc>
        <w:tc>
          <w:tcPr>
            <w:shd w:val="clear" w:color="auto" w:fill="ffffff"/>
            <w:tcBorders>
              <w:top w:val="single" w:color="000000" w:sz="8" w:space="0"/>
              <w:left w:val="single" w:color="000000" w:sz="8" w:space="0"/>
              <w:bottom w:val="single" w:color="000000" w:sz="8" w:space="0"/>
              <w:right w:val="single" w:color="000000" w:sz="8" w:space="0"/>
            </w:tcBorders>
            <w:tcW w:w="814" w:type="dxa"/>
            <w:vAlign w:val="center"/>
            <w:textDirection w:val="lrTb"/>
            <w:noWrap w:val="false"/>
          </w:tcPr>
          <w:p>
            <w:pPr>
              <w:pStyle w:val="767"/>
              <w:jc w:val="center"/>
              <w:rPr>
                <w:rFonts w:hint="eastAsia" w:ascii="Times New Roman" w:hAnsi="Times New Roman" w:eastAsia="宋体"/>
                <w:color w:val="000000"/>
                <w:lang w:val="en-US" w:eastAsia="zh-CN"/>
              </w:rPr>
            </w:pPr>
            <w:r>
              <w:rPr>
                <w:rFonts w:ascii="Times New Roman" w:hAnsi="Times New Roman"/>
                <w:color w:val="000000"/>
              </w:rPr>
              <w:t xml:space="preserve">6</w:t>
            </w:r>
            <w:r>
              <w:rPr>
                <w:rFonts w:hint="eastAsia" w:ascii="Times New Roman" w:hAnsi="Times New Roman"/>
                <w:color w:val="000000"/>
                <w:lang w:val="en-US" w:eastAsia="zh-CN"/>
              </w:rPr>
              <w:t xml:space="preserve">分</w:t>
            </w:r>
            <w:r/>
          </w:p>
        </w:tc>
      </w:tr>
    </w:tbl>
    <w:p>
      <w:r/>
      <w:r/>
    </w:p>
    <w:p>
      <w:pPr>
        <w:pStyle w:val="1030"/>
        <w:ind w:firstLine="1548"/>
        <w:rPr>
          <w:rFonts w:hint="eastAsia" w:ascii="宋体" w:hAnsi="宋体"/>
          <w:b/>
          <w:color w:val="000000"/>
          <w:sz w:val="36"/>
          <w:szCs w:val="36"/>
        </w:rPr>
      </w:pPr>
      <w:r>
        <w:rPr>
          <w:rFonts w:hint="eastAsia" w:ascii="宋体" w:hAnsi="宋体"/>
          <w:b/>
          <w:color w:val="000000"/>
          <w:sz w:val="36"/>
          <w:szCs w:val="36"/>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42"/>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942"/>
        <w:rPr>
          <w:rFonts w:hint="eastAsia" w:ascii="黑体" w:eastAsia="黑体"/>
          <w:bCs/>
          <w:color w:val="000000"/>
          <w:sz w:val="44"/>
        </w:rPr>
      </w:pPr>
      <w:r>
        <w:rPr>
          <w:rFonts w:hint="eastAsia" w:ascii="黑体" w:eastAsia="黑体"/>
          <w:bCs/>
          <w:color w:val="000000"/>
          <w:sz w:val="44"/>
        </w:rPr>
        <w:t xml:space="preserve">第六章  投标</w:t>
      </w:r>
      <w:bookmarkEnd w:id="193"/>
      <w:r/>
      <w:bookmarkEnd w:id="194"/>
      <w:r/>
      <w:bookmarkEnd w:id="195"/>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40" w:name="_Hlt26955039"/>
      <w:r/>
      <w:bookmarkEnd w:id="240"/>
      <w:r/>
      <w:bookmarkStart w:id="241" w:name="_Hlt26671244"/>
      <w:r/>
      <w:bookmarkEnd w:id="241"/>
      <w:r/>
      <w:bookmarkStart w:id="242" w:name="_Toc49090576"/>
      <w:r/>
      <w:bookmarkStart w:id="243" w:name="_Toc26554094"/>
      <w:r/>
      <w:bookmarkStart w:id="244"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787"/>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787"/>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b w:val="0"/>
          <w:bCs w:val="0"/>
          <w:sz w:val="24"/>
          <w:szCs w:val="21"/>
        </w:rPr>
        <w:t xml:space="preserve">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p>
    <w:p>
      <w:pPr>
        <w:pStyle w:val="785"/>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w:t>
      </w:r>
      <w:r/>
    </w:p>
    <w:p>
      <w:pPr>
        <w:pStyle w:val="785"/>
        <w:ind w:left="0" w:right="0" w:firstLine="482"/>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四、价格扣除证明文件</w:t>
      </w:r>
      <w:r/>
    </w:p>
    <w:p>
      <w:pPr>
        <w:pStyle w:val="785"/>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85"/>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8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85"/>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85"/>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85"/>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85"/>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85"/>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85"/>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89"/>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785"/>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785"/>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62"/>
        <w:tblW w:w="8339"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785"/>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8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8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8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85"/>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62"/>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87"/>
        <w:ind w:left="0" w:firstLine="0"/>
        <w:rPr>
          <w:rFonts w:hint="eastAsia" w:ascii="宋体" w:hAnsi="宋体"/>
          <w:sz w:val="24"/>
          <w:szCs w:val="24"/>
        </w:rPr>
      </w:pPr>
      <w:r>
        <w:rPr>
          <w:rFonts w:hint="eastAsia" w:ascii="宋体" w:hAnsi="宋体"/>
          <w:sz w:val="24"/>
          <w:szCs w:val="24"/>
        </w:rPr>
      </w:r>
      <w:r/>
    </w:p>
    <w:p>
      <w:pPr>
        <w:pStyle w:val="787"/>
        <w:ind w:left="0" w:firstLine="0"/>
        <w:rPr>
          <w:rFonts w:hint="eastAsia" w:ascii="宋体" w:hAnsi="宋体"/>
          <w:sz w:val="24"/>
          <w:szCs w:val="24"/>
        </w:rPr>
      </w:pPr>
      <w:r>
        <w:rPr>
          <w:rFonts w:hint="eastAsia" w:ascii="宋体" w:hAnsi="宋体"/>
          <w:sz w:val="24"/>
          <w:szCs w:val="24"/>
        </w:rPr>
      </w:r>
      <w:r/>
    </w:p>
    <w:p>
      <w:pPr>
        <w:pStyle w:val="787"/>
        <w:ind w:left="0" w:firstLine="0"/>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62"/>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787"/>
        <w:rPr>
          <w:rFonts w:hint="eastAsia" w:ascii="宋体" w:hAnsi="宋体"/>
          <w:b/>
          <w:sz w:val="24"/>
          <w:szCs w:val="21"/>
        </w:rPr>
      </w:pPr>
      <w:r>
        <w:rPr>
          <w:rFonts w:hint="eastAsia" w:ascii="宋体" w:hAnsi="宋体"/>
          <w:b/>
          <w:sz w:val="24"/>
          <w:szCs w:val="21"/>
        </w:rPr>
      </w:r>
      <w:r/>
    </w:p>
    <w:p>
      <w:pPr>
        <w:pStyle w:val="787"/>
        <w:rPr>
          <w:rFonts w:hint="eastAsia" w:ascii="宋体" w:hAnsi="宋体"/>
          <w:b/>
          <w:sz w:val="24"/>
          <w:szCs w:val="21"/>
        </w:rPr>
      </w:pPr>
      <w:r>
        <w:rPr>
          <w:rFonts w:hint="eastAsia" w:ascii="宋体" w:hAnsi="宋体"/>
          <w:b/>
          <w:sz w:val="24"/>
          <w:szCs w:val="21"/>
        </w:rPr>
      </w:r>
      <w:r/>
    </w:p>
    <w:p>
      <w:pPr>
        <w:pStyle w:val="787"/>
        <w:rPr>
          <w:rFonts w:hint="eastAsia" w:ascii="宋体" w:hAnsi="宋体"/>
          <w:b/>
          <w:sz w:val="24"/>
          <w:szCs w:val="21"/>
        </w:rPr>
      </w:pPr>
      <w:r>
        <w:rPr>
          <w:rFonts w:hint="eastAsia" w:ascii="宋体" w:hAnsi="宋体"/>
          <w:b/>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color w:val="000000"/>
          <w:sz w:val="24"/>
          <w:szCs w:val="21"/>
          <w:lang w:val="en-US" w:eastAsia="zh-CN"/>
        </w:rPr>
        <w:t xml:space="preserve">：</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87"/>
        <w:rPr>
          <w:rFonts w:ascii="宋体" w:hAnsi="宋体"/>
          <w:b/>
          <w:color w:val="000000"/>
          <w:sz w:val="24"/>
          <w:szCs w:val="21"/>
        </w:rPr>
      </w:pPr>
      <w:r>
        <w:rPr>
          <w:rFonts w:ascii="宋体" w:hAnsi="宋体"/>
          <w:b/>
          <w:color w:val="000000"/>
          <w:sz w:val="24"/>
          <w:szCs w:val="21"/>
        </w:rPr>
      </w:r>
      <w:r/>
    </w:p>
    <w:p>
      <w:pPr>
        <w:pStyle w:val="787"/>
        <w:rPr>
          <w:rFonts w:ascii="宋体" w:hAnsi="宋体"/>
          <w:b/>
          <w:color w:val="000000"/>
          <w:sz w:val="24"/>
          <w:szCs w:val="21"/>
        </w:rPr>
      </w:pPr>
      <w:r>
        <w:rPr>
          <w:rFonts w:ascii="宋体" w:hAnsi="宋体"/>
          <w:b/>
          <w:color w:val="000000"/>
          <w:sz w:val="24"/>
          <w:szCs w:val="21"/>
        </w:rPr>
      </w:r>
      <w:r/>
    </w:p>
    <w:p>
      <w:pPr>
        <w:pStyle w:val="787"/>
        <w:rPr>
          <w:rFonts w:ascii="宋体" w:hAnsi="宋体"/>
          <w:b/>
          <w:color w:val="000000"/>
          <w:sz w:val="24"/>
          <w:szCs w:val="21"/>
        </w:rPr>
      </w:pPr>
      <w:r>
        <w:rPr>
          <w:rFonts w:ascii="宋体" w:hAnsi="宋体"/>
          <w:b/>
          <w:color w:val="000000"/>
          <w:sz w:val="24"/>
          <w:szCs w:val="21"/>
        </w:rPr>
      </w:r>
      <w:r/>
    </w:p>
    <w:p>
      <w:pPr>
        <w:pStyle w:val="787"/>
        <w:rPr>
          <w:rFonts w:ascii="宋体" w:hAnsi="宋体"/>
          <w:b/>
          <w:color w:val="000000"/>
          <w:sz w:val="24"/>
          <w:szCs w:val="21"/>
        </w:rPr>
      </w:pPr>
      <w:r>
        <w:rPr>
          <w:rFonts w:ascii="宋体" w:hAnsi="宋体"/>
          <w:b/>
          <w:color w:val="000000"/>
          <w:sz w:val="24"/>
          <w:szCs w:val="21"/>
        </w:rPr>
      </w:r>
      <w:r/>
    </w:p>
    <w:p>
      <w:pPr>
        <w:pStyle w:val="787"/>
        <w:rPr>
          <w:rFonts w:ascii="宋体" w:hAnsi="宋体"/>
          <w:b/>
          <w:color w:val="000000"/>
          <w:sz w:val="24"/>
          <w:szCs w:val="21"/>
        </w:rPr>
      </w:pPr>
      <w:r>
        <w:rPr>
          <w:rFonts w:ascii="宋体" w:hAnsi="宋体"/>
          <w:b/>
          <w:color w:val="000000"/>
          <w:sz w:val="24"/>
          <w:szCs w:val="21"/>
        </w:rPr>
      </w:r>
      <w:r/>
    </w:p>
    <w:p>
      <w:pPr>
        <w:pStyle w:val="787"/>
        <w:rPr>
          <w:rFonts w:ascii="宋体" w:hAnsi="宋体"/>
          <w:b/>
          <w:color w:val="000000"/>
          <w:sz w:val="24"/>
          <w:szCs w:val="21"/>
        </w:rPr>
      </w:pPr>
      <w:r>
        <w:rPr>
          <w:rFonts w:ascii="宋体" w:hAnsi="宋体"/>
          <w:b/>
          <w:color w:val="000000"/>
          <w:sz w:val="24"/>
          <w:szCs w:val="21"/>
        </w:rPr>
      </w:r>
      <w:r/>
    </w:p>
    <w:p>
      <w:pPr>
        <w:pStyle w:val="787"/>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87"/>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62"/>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87"/>
        <w:rPr>
          <w:rFonts w:ascii="宋体" w:hAnsi="宋体"/>
          <w:b/>
          <w:color w:val="000000"/>
          <w:sz w:val="24"/>
          <w:szCs w:val="21"/>
        </w:rPr>
      </w:pPr>
      <w:r>
        <w:rPr>
          <w:rFonts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rPr>
          <w:rFonts w:hint="eastAsia" w:ascii="宋体" w:hAnsi="宋体"/>
          <w:b/>
          <w:color w:val="000000"/>
          <w:sz w:val="24"/>
          <w:szCs w:val="21"/>
        </w:rPr>
      </w:pPr>
      <w:r>
        <w:rPr>
          <w:rFonts w:hint="eastAsia" w:ascii="宋体" w:hAnsi="宋体"/>
          <w:b/>
          <w:color w:val="000000"/>
          <w:sz w:val="24"/>
          <w:szCs w:val="21"/>
        </w:rPr>
      </w:r>
      <w:r/>
    </w:p>
    <w:p>
      <w:pPr>
        <w:pStyle w:val="787"/>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87"/>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785"/>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85"/>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85"/>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85"/>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85"/>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8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85"/>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85"/>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785"/>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pStyle w:val="763"/>
        <w:rPr>
          <w:b/>
          <w:bCs/>
          <w:color w:val="0070c0"/>
        </w:rPr>
      </w:pPr>
      <w:r>
        <w:rPr>
          <w:b/>
          <w:bCs/>
          <w:color w:val="0070c0"/>
        </w:rPr>
      </w:r>
      <w:r/>
    </w:p>
    <w:p>
      <w:pPr>
        <w:rPr>
          <w:b/>
          <w:bCs/>
          <w:color w:val="0070c0"/>
        </w:rPr>
      </w:pPr>
      <w:r>
        <w:rPr>
          <w:b/>
          <w:bCs/>
          <w:color w:val="0070c0"/>
        </w:rPr>
      </w:r>
      <w:r/>
    </w:p>
    <w:p>
      <w:pPr>
        <w:jc w:val="center"/>
        <w:keepLines/>
        <w:keepNext/>
        <w:spacing w:before="300" w:after="300" w:line="360" w:lineRule="auto"/>
        <w:widowControl/>
        <w:rPr>
          <w:rFonts w:ascii="Arial" w:hAnsi="Arial" w:eastAsia="幼圆" w:cs="Arial"/>
          <w:b/>
          <w:bCs/>
        </w:rPr>
        <w:outlineLvl w:val="1"/>
      </w:pPr>
      <w:r>
        <w:rPr>
          <w:rFonts w:hint="eastAsia" w:ascii="Arial" w:hAnsi="Arial" w:eastAsia="幼圆" w:cs="微软雅黑"/>
          <w:b/>
          <w:bCs/>
        </w:rPr>
        <w:t xml:space="preserve">中小微企业划型标准</w:t>
      </w:r>
      <w:r/>
    </w:p>
    <w:tbl>
      <w:tblPr>
        <w:tblStyle w:val="762"/>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ind w:firstLine="420"/>
              <w:spacing w:after="150" w:line="360" w:lineRule="auto"/>
              <w:rPr>
                <w:color w:val="666666"/>
                <w:sz w:val="21"/>
                <w:szCs w:val="21"/>
              </w:rPr>
            </w:pPr>
            <w:r>
              <w:rPr>
                <w:rStyle w:val="790"/>
                <w:rFonts w:hint="eastAsia"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Y＜100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5"/>
              <w:spacing w:after="150" w:line="360" w:lineRule="auto"/>
              <w:rPr>
                <w:color w:val="666666"/>
                <w:sz w:val="21"/>
                <w:szCs w:val="21"/>
              </w:rPr>
            </w:pPr>
            <w:r>
              <w:rPr>
                <w:rStyle w:val="79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785"/>
              <w:jc w:val="center"/>
              <w:spacing w:after="150" w:line="360" w:lineRule="auto"/>
              <w:rPr>
                <w:color w:val="666666"/>
                <w:sz w:val="21"/>
                <w:szCs w:val="21"/>
              </w:rPr>
            </w:pPr>
            <w:r>
              <w:rPr>
                <w:rStyle w:val="79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785"/>
              <w:jc w:val="center"/>
              <w:spacing w:after="150" w:line="360" w:lineRule="auto"/>
              <w:rPr>
                <w:rStyle w:val="790"/>
                <w:rFonts w:cs="仿宋"/>
                <w:color w:val="666666"/>
                <w:sz w:val="21"/>
                <w:szCs w:val="21"/>
              </w:rPr>
            </w:pPr>
            <w:r>
              <w:rPr>
                <w:rStyle w:val="790"/>
                <w:rFonts w:hint="eastAsia" w:cs="仿宋"/>
                <w:color w:val="666666"/>
                <w:sz w:val="21"/>
                <w:szCs w:val="21"/>
              </w:rPr>
              <w:t xml:space="preserve">X＜10</w:t>
            </w:r>
            <w:r/>
          </w:p>
        </w:tc>
      </w:tr>
    </w:tbl>
    <w:p>
      <w:pPr>
        <w:ind w:firstLine="810"/>
        <w:jc w:val="left"/>
        <w:pageBreakBefore w:val="0"/>
        <w:spacing w:before="300" w:after="452" w:line="400" w:lineRule="atLeast"/>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w:t>
      </w:r>
      <w:r>
        <w:rPr>
          <w:rFonts w:hint="eastAsia" w:ascii="宋体" w:hAnsi="宋体"/>
          <w:color w:val="000000"/>
          <w:sz w:val="24"/>
          <w:szCs w:val="24"/>
          <w:lang w:val="en-US" w:eastAsia="zh-CN"/>
        </w:rPr>
        <w:t xml:space="preserve">仪征分中心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762"/>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91"/>
      <w:r/>
      <w:bookmarkEnd w:id="192"/>
      <w:r/>
      <w:bookmarkEnd w:id="242"/>
      <w:r/>
      <w:bookmarkEnd w:id="243"/>
      <w:r/>
      <w:bookmarkEnd w:id="244"/>
      <w:r/>
      <w:r/>
    </w:p>
    <w:p>
      <w:pPr>
        <w:pStyle w:val="944"/>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egoe UI Symbol">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3252"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8325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1"/>
                            <w:rPr>
                              <w:rStyle w:val="1016"/>
                              <w:rFonts w:ascii="宋体" w:hAnsi="宋体"/>
                            </w:rPr>
                          </w:pPr>
                          <w:r>
                            <w:rPr>
                              <w:rFonts w:hint="default" w:ascii="Times New Roman" w:hAnsi="Times New Roman" w:cs="Times New Roman"/>
                              <w:sz w:val="21"/>
                              <w:szCs w:val="21"/>
                            </w:rPr>
                            <w:fldChar w:fldCharType="begin"/>
                          </w:r>
                          <w:r>
                            <w:rPr>
                              <w:rStyle w:val="1016"/>
                              <w:rFonts w:hint="default" w:ascii="Times New Roman" w:hAnsi="Times New Roman" w:cs="Times New Roman"/>
                              <w:sz w:val="21"/>
                              <w:szCs w:val="21"/>
                            </w:rPr>
                            <w:instrText xml:space="preserve">PAGE  </w:instrText>
                          </w:r>
                          <w:r>
                            <w:rPr>
                              <w:rFonts w:hint="default" w:ascii="Times New Roman" w:hAnsi="Times New Roman" w:cs="Times New Roman"/>
                              <w:sz w:val="21"/>
                              <w:szCs w:val="21"/>
                            </w:rPr>
                            <w:fldChar w:fldCharType="separate"/>
                          </w:r>
                          <w:r>
                            <w:rPr>
                              <w:rStyle w:val="1016"/>
                              <w:rFonts w:hint="default" w:ascii="Times New Roman" w:hAnsi="Times New Roman" w:cs="Times New Roman"/>
                              <w:sz w:val="21"/>
                              <w:szCs w:val="21"/>
                            </w:rPr>
                            <w:t xml:space="preserve">21</w:t>
                          </w:r>
                          <w:r>
                            <w:rPr>
                              <w:rFonts w:hint="default" w:ascii="Times New Roman" w:hAnsi="Times New Roman" w:cs="Times New Roman"/>
                              <w:sz w:val="21"/>
                              <w:szCs w:val="21"/>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2.3pt;height:12.1pt;mso-wrap-distance-left:9.0pt;mso-wrap-distance-top:0.0pt;mso-wrap-distance-right:9.0pt;mso-wrap-distance-bottom:0.0pt;v-text-anchor:top;visibility:visible;" filled="f" stroked="f" strokeweight="0.50pt">
              <v:textbox inset="0,0,0,0">
                <w:txbxContent>
                  <w:p>
                    <w:pPr>
                      <w:pStyle w:val="991"/>
                      <w:rPr>
                        <w:rStyle w:val="1016"/>
                        <w:rFonts w:ascii="宋体" w:hAnsi="宋体"/>
                      </w:rPr>
                    </w:pPr>
                    <w:r>
                      <w:rPr>
                        <w:rFonts w:hint="default" w:ascii="Times New Roman" w:hAnsi="Times New Roman" w:cs="Times New Roman"/>
                        <w:sz w:val="21"/>
                        <w:szCs w:val="21"/>
                      </w:rPr>
                      <w:fldChar w:fldCharType="begin"/>
                    </w:r>
                    <w:r>
                      <w:rPr>
                        <w:rStyle w:val="1016"/>
                        <w:rFonts w:hint="default" w:ascii="Times New Roman" w:hAnsi="Times New Roman" w:cs="Times New Roman"/>
                        <w:sz w:val="21"/>
                        <w:szCs w:val="21"/>
                      </w:rPr>
                      <w:instrText xml:space="preserve">PAGE  </w:instrText>
                    </w:r>
                    <w:r>
                      <w:rPr>
                        <w:rFonts w:hint="default" w:ascii="Times New Roman" w:hAnsi="Times New Roman" w:cs="Times New Roman"/>
                        <w:sz w:val="21"/>
                        <w:szCs w:val="21"/>
                      </w:rPr>
                      <w:fldChar w:fldCharType="separate"/>
                    </w:r>
                    <w:r>
                      <w:rPr>
                        <w:rStyle w:val="1016"/>
                        <w:rFonts w:hint="default" w:ascii="Times New Roman" w:hAnsi="Times New Roman" w:cs="Times New Roman"/>
                        <w:sz w:val="21"/>
                        <w:szCs w:val="21"/>
                      </w:rPr>
                      <w:t xml:space="preserve">21</w:t>
                    </w:r>
                    <w:r>
                      <w:rPr>
                        <w:rFonts w:hint="default" w:ascii="Times New Roman" w:hAnsi="Times New Roman" w:cs="Times New Roman"/>
                        <w:sz w:val="21"/>
                        <w:szCs w:val="21"/>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p>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63577" cy="153339"/>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36357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1"/>
                            <w:jc w:val="cente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 MERGEFORMAT</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zh-CN" w:eastAsia="zh-CN" w:bidi="ar-SA"/>
                            </w:rPr>
                            <w:t xml:space="preserve">1</w:t>
                          </w:r>
                          <w:r>
                            <w:rPr>
                              <w:rFonts w:hint="default" w:ascii="Times New Roman" w:hAnsi="Times New Roman" w:eastAsia="宋体" w:cs="Times New Roman"/>
                              <w:sz w:val="21"/>
                              <w:szCs w:val="21"/>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8.6pt;height:12.1pt;mso-wrap-distance-left:9.0pt;mso-wrap-distance-top:0.0pt;mso-wrap-distance-right:9.0pt;mso-wrap-distance-bottom:0.0pt;v-text-anchor:top;visibility:visible;" filled="f" stroked="f" strokeweight="0.50pt">
              <v:textbox inset="0,0,0,0">
                <w:txbxContent>
                  <w:p>
                    <w:pPr>
                      <w:pStyle w:val="991"/>
                      <w:jc w:val="cente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 MERGEFORMAT</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zh-CN" w:eastAsia="zh-CN" w:bidi="ar-SA"/>
                      </w:rPr>
                      <w:t xml:space="preserve">1</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49"/>
      <w:isLgl w:val="false"/>
      <w:suff w:val="nothing"/>
      <w:lvlText w:val=""/>
      <w:lvlJc w:val="left"/>
      <w:pPr>
        <w:ind w:left="0" w:firstLine="0"/>
      </w:pPr>
      <w:rPr>
        <w:rFonts w:hint="eastAsia"/>
      </w:rPr>
    </w:lvl>
    <w:lvl w:ilvl="7">
      <w:start w:val="1"/>
      <w:numFmt w:val="decimal"/>
      <w:pStyle w:val="950"/>
      <w:isLgl w:val="false"/>
      <w:suff w:val="nothing"/>
      <w:lvlText w:val=""/>
      <w:lvlJc w:val="left"/>
      <w:pPr>
        <w:ind w:left="0" w:firstLine="0"/>
      </w:pPr>
      <w:rPr>
        <w:rFonts w:hint="eastAsia"/>
      </w:rPr>
    </w:lvl>
    <w:lvl w:ilvl="8">
      <w:start w:val="1"/>
      <w:numFmt w:val="decimal"/>
      <w:pStyle w:val="95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第%1章"/>
      <w:lvlJc w:val="left"/>
      <w:pPr>
        <w:ind w:left="425" w:hanging="425"/>
      </w:pPr>
      <w:rPr>
        <w:rFonts w:hint="eastAsia"/>
      </w:rPr>
    </w:lvl>
    <w:lvl w:ilvl="1">
      <w:start w:val="1"/>
      <w:numFmt w:val="decimal"/>
      <w:isLgl w:val="false"/>
      <w:suff w:val="tab"/>
      <w:lvlText w:val="%1.%2"/>
      <w:lvlJc w:val="left"/>
      <w:pPr>
        <w:ind w:left="992" w:hanging="567"/>
      </w:pPr>
      <w:rPr>
        <w:rFonts w:ascii="宋体" w:hAnsi="宋体" w:eastAsia="宋体"/>
        <w:b/>
        <w:sz w:val="24"/>
        <w:szCs w:val="24"/>
      </w:rPr>
    </w:lvl>
    <w:lvl w:ilvl="2">
      <w:start w:val="1"/>
      <w:numFmt w:val="decimal"/>
      <w:pStyle w:val="1062"/>
      <w:isLgl w:val="false"/>
      <w:suff w:val="tab"/>
      <w:lvlText w:val="%1.%2.%3"/>
      <w:lvlJc w:val="left"/>
      <w:pPr>
        <w:ind w:left="1418" w:hanging="567"/>
      </w:pPr>
      <w:rPr>
        <w:rFonts w:ascii="宋体" w:hAnsi="宋体" w:eastAsia="宋体"/>
        <w:sz w:val="24"/>
        <w:szCs w:val="24"/>
      </w:rPr>
    </w:lvl>
    <w:lvl w:ilvl="3">
      <w:start w:val="1"/>
      <w:numFmt w:val="decimal"/>
      <w:pStyle w:val="1063"/>
      <w:isLgl w:val="false"/>
      <w:suff w:val="tab"/>
      <w:lvlText w:val="%1.%2.%3.%4"/>
      <w:lvlJc w:val="left"/>
      <w:pPr>
        <w:ind w:left="1984" w:hanging="708"/>
      </w:pPr>
    </w:lvl>
    <w:lvl w:ilvl="4">
      <w:start w:val="1"/>
      <w:numFmt w:val="decimal"/>
      <w:isLgl w:val="false"/>
      <w:suff w:val="tab"/>
      <w:lvlText w:val="%1.%2.%3.%4.%5"/>
      <w:lvlJc w:val="left"/>
      <w:pPr>
        <w:ind w:left="1702"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6"/>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105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link w:val="794"/>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5"/>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96"/>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7"/>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8"/>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99"/>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2"/>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customStyle="1">
    <w:name w:val="Default"/>
    <w:next w:val="751"/>
    <w:uiPriority w:val="0"/>
    <w:qFormat/>
    <w:pPr>
      <w:widowControl w:val="off"/>
    </w:pPr>
    <w:rPr>
      <w:rFonts w:ascii="宋体" w:hAnsi="Times New Roman" w:eastAsia="宋体" w:cs="宋体"/>
      <w:color w:val="000000"/>
      <w:sz w:val="24"/>
      <w:szCs w:val="24"/>
      <w:lang w:val="en-US" w:eastAsia="zh-CN" w:bidi="ar-SA"/>
    </w:rPr>
  </w:style>
  <w:style w:type="paragraph" w:styleId="764">
    <w:name w:val="toc 7"/>
    <w:basedOn w:val="751"/>
    <w:next w:val="751"/>
    <w:uiPriority w:val="39"/>
    <w:unhideWhenUsed/>
    <w:qFormat/>
    <w:pPr>
      <w:ind w:left="1701" w:right="0" w:firstLine="0"/>
      <w:spacing w:after="57"/>
    </w:pPr>
  </w:style>
  <w:style w:type="paragraph" w:styleId="765">
    <w:name w:val="Normal Indent"/>
    <w:basedOn w:val="751"/>
    <w:uiPriority w:val="0"/>
    <w:qFormat/>
    <w:pPr>
      <w:ind w:firstLine="420"/>
    </w:pPr>
    <w:rPr>
      <w:rFonts w:ascii="Times New Roman" w:hAnsi="Times New Roman"/>
      <w:szCs w:val="21"/>
    </w:rPr>
  </w:style>
  <w:style w:type="paragraph" w:styleId="766">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1"/>
    <w:uiPriority w:val="0"/>
    <w:qFormat/>
    <w:pPr>
      <w:jc w:val="left"/>
      <w:spacing w:line="400" w:lineRule="exact"/>
    </w:pPr>
    <w:rPr>
      <w:sz w:val="21"/>
    </w:rPr>
  </w:style>
  <w:style w:type="paragraph" w:styleId="768">
    <w:name w:val="Body Text"/>
    <w:basedOn w:val="751"/>
    <w:uiPriority w:val="0"/>
    <w:qFormat/>
    <w:rPr>
      <w:rFonts w:ascii="楷体_GB2312" w:hAnsi="Arial" w:eastAsia="楷体_GB2312" w:cs="Times New Roman"/>
      <w:sz w:val="28"/>
      <w:szCs w:val="28"/>
    </w:rPr>
  </w:style>
  <w:style w:type="paragraph" w:styleId="769">
    <w:name w:val="Body Text Indent"/>
    <w:basedOn w:val="751"/>
    <w:next w:val="770"/>
    <w:uiPriority w:val="0"/>
    <w:qFormat/>
    <w:pPr>
      <w:ind w:left="420"/>
      <w:spacing w:after="120"/>
    </w:pPr>
  </w:style>
  <w:style w:type="paragraph" w:styleId="770">
    <w:name w:val="envelope return"/>
    <w:basedOn w:val="751"/>
    <w:uiPriority w:val="99"/>
    <w:unhideWhenUsed/>
    <w:qFormat/>
    <w:rPr>
      <w:rFonts w:ascii="Arial" w:hAnsi="Arial"/>
    </w:rPr>
  </w:style>
  <w:style w:type="paragraph" w:styleId="771">
    <w:name w:val="toc 5"/>
    <w:basedOn w:val="751"/>
    <w:next w:val="751"/>
    <w:uiPriority w:val="39"/>
    <w:unhideWhenUsed/>
    <w:qFormat/>
    <w:pPr>
      <w:ind w:left="1134" w:right="0" w:firstLine="0"/>
      <w:spacing w:after="57"/>
    </w:pPr>
  </w:style>
  <w:style w:type="paragraph" w:styleId="772">
    <w:name w:val="toc 3"/>
    <w:basedOn w:val="751"/>
    <w:next w:val="751"/>
    <w:uiPriority w:val="39"/>
    <w:unhideWhenUsed/>
    <w:qFormat/>
    <w:pPr>
      <w:ind w:left="567" w:right="0" w:firstLine="0"/>
      <w:spacing w:after="57"/>
    </w:pPr>
  </w:style>
  <w:style w:type="paragraph" w:styleId="773">
    <w:name w:val="toc 8"/>
    <w:basedOn w:val="751"/>
    <w:next w:val="751"/>
    <w:uiPriority w:val="39"/>
    <w:unhideWhenUsed/>
    <w:qFormat/>
    <w:pPr>
      <w:ind w:left="1984" w:right="0" w:firstLine="0"/>
      <w:spacing w:after="57"/>
    </w:pPr>
  </w:style>
  <w:style w:type="paragraph" w:styleId="774">
    <w:name w:val="endnote text"/>
    <w:basedOn w:val="751"/>
    <w:link w:val="940"/>
    <w:uiPriority w:val="99"/>
    <w:semiHidden/>
    <w:unhideWhenUsed/>
    <w:qFormat/>
    <w:pPr>
      <w:spacing w:after="0" w:line="240" w:lineRule="auto"/>
    </w:pPr>
    <w:rPr>
      <w:sz w:val="20"/>
    </w:rPr>
  </w:style>
  <w:style w:type="paragraph" w:styleId="775">
    <w:name w:val="Footer"/>
    <w:basedOn w:val="751"/>
    <w:link w:val="813"/>
    <w:uiPriority w:val="99"/>
    <w:unhideWhenUsed/>
    <w:qFormat/>
    <w:pPr>
      <w:spacing w:after="0" w:line="240" w:lineRule="auto"/>
      <w:tabs>
        <w:tab w:val="center" w:pos="7143" w:leader="none"/>
        <w:tab w:val="right" w:pos="14287" w:leader="none"/>
      </w:tabs>
    </w:pPr>
  </w:style>
  <w:style w:type="paragraph" w:styleId="776">
    <w:name w:val="Header"/>
    <w:basedOn w:val="751"/>
    <w:link w:val="811"/>
    <w:uiPriority w:val="99"/>
    <w:unhideWhenUsed/>
    <w:qFormat/>
    <w:pPr>
      <w:spacing w:after="0" w:line="240" w:lineRule="auto"/>
      <w:tabs>
        <w:tab w:val="center" w:pos="7143" w:leader="none"/>
        <w:tab w:val="right" w:pos="14287" w:leader="none"/>
      </w:tabs>
    </w:pPr>
  </w:style>
  <w:style w:type="paragraph" w:styleId="777">
    <w:name w:val="toc 1"/>
    <w:basedOn w:val="751"/>
    <w:next w:val="751"/>
    <w:uiPriority w:val="39"/>
    <w:unhideWhenUsed/>
    <w:qFormat/>
    <w:pPr>
      <w:ind w:left="0" w:right="0" w:firstLine="0"/>
      <w:spacing w:after="57"/>
    </w:pPr>
  </w:style>
  <w:style w:type="paragraph" w:styleId="778">
    <w:name w:val="toc 4"/>
    <w:basedOn w:val="751"/>
    <w:next w:val="751"/>
    <w:uiPriority w:val="39"/>
    <w:unhideWhenUsed/>
    <w:qFormat/>
    <w:pPr>
      <w:ind w:left="850" w:right="0" w:firstLine="0"/>
      <w:spacing w:after="57"/>
    </w:pPr>
  </w:style>
  <w:style w:type="paragraph" w:styleId="779">
    <w:name w:val="Subtitle"/>
    <w:basedOn w:val="751"/>
    <w:next w:val="751"/>
    <w:link w:val="806"/>
    <w:uiPriority w:val="11"/>
    <w:qFormat/>
    <w:pPr>
      <w:spacing w:before="200" w:after="200"/>
    </w:pPr>
    <w:rPr>
      <w:sz w:val="24"/>
      <w:szCs w:val="24"/>
    </w:rPr>
  </w:style>
  <w:style w:type="paragraph" w:styleId="780">
    <w:name w:val="footnote text"/>
    <w:basedOn w:val="751"/>
    <w:link w:val="939"/>
    <w:uiPriority w:val="99"/>
    <w:semiHidden/>
    <w:unhideWhenUsed/>
    <w:qFormat/>
    <w:pPr>
      <w:spacing w:after="40" w:line="240" w:lineRule="auto"/>
    </w:pPr>
    <w:rPr>
      <w:sz w:val="18"/>
    </w:rPr>
  </w:style>
  <w:style w:type="paragraph" w:styleId="781">
    <w:name w:val="toc 6"/>
    <w:basedOn w:val="751"/>
    <w:next w:val="751"/>
    <w:uiPriority w:val="39"/>
    <w:unhideWhenUsed/>
    <w:qFormat/>
    <w:pPr>
      <w:ind w:left="1417" w:right="0" w:firstLine="0"/>
      <w:spacing w:after="57"/>
    </w:pPr>
  </w:style>
  <w:style w:type="paragraph" w:styleId="782">
    <w:name w:val="table of figures"/>
    <w:basedOn w:val="751"/>
    <w:next w:val="751"/>
    <w:uiPriority w:val="99"/>
    <w:unhideWhenUsed/>
    <w:qFormat/>
    <w:pPr>
      <w:spacing w:after="0" w:afterAutospacing="0"/>
    </w:pPr>
  </w:style>
  <w:style w:type="paragraph" w:styleId="783">
    <w:name w:val="toc 2"/>
    <w:basedOn w:val="751"/>
    <w:next w:val="751"/>
    <w:uiPriority w:val="39"/>
    <w:unhideWhenUsed/>
    <w:qFormat/>
    <w:pPr>
      <w:ind w:left="283" w:right="0" w:firstLine="0"/>
      <w:spacing w:after="57"/>
    </w:pPr>
  </w:style>
  <w:style w:type="paragraph" w:styleId="784">
    <w:name w:val="toc 9"/>
    <w:basedOn w:val="751"/>
    <w:next w:val="751"/>
    <w:uiPriority w:val="39"/>
    <w:unhideWhenUsed/>
    <w:qFormat/>
    <w:pPr>
      <w:ind w:left="2268" w:right="0" w:firstLine="0"/>
      <w:spacing w:after="57"/>
    </w:pPr>
  </w:style>
  <w:style w:type="paragraph" w:styleId="785">
    <w:name w:val="Normal (Web)"/>
    <w:basedOn w:val="751"/>
    <w:uiPriority w:val="99"/>
    <w:semiHidden/>
    <w:unhideWhenUsed/>
    <w:qFormat/>
    <w:pPr>
      <w:ind w:left="0" w:right="0"/>
      <w:jc w:val="left"/>
      <w:spacing w:before="0" w:beforeAutospacing="1" w:after="0" w:afterAutospacing="1"/>
    </w:pPr>
    <w:rPr>
      <w:sz w:val="24"/>
      <w:lang w:val="en-US" w:eastAsia="zh-CN" w:bidi="ar"/>
    </w:rPr>
  </w:style>
  <w:style w:type="paragraph" w:styleId="786">
    <w:name w:val="Title"/>
    <w:basedOn w:val="751"/>
    <w:next w:val="751"/>
    <w:link w:val="805"/>
    <w:uiPriority w:val="10"/>
    <w:qFormat/>
    <w:pPr>
      <w:contextualSpacing/>
      <w:spacing w:before="300" w:after="200"/>
    </w:pPr>
    <w:rPr>
      <w:sz w:val="48"/>
      <w:szCs w:val="48"/>
    </w:rPr>
  </w:style>
  <w:style w:type="paragraph" w:styleId="787">
    <w:name w:val="Body Text First Indent"/>
    <w:basedOn w:val="768"/>
    <w:uiPriority w:val="0"/>
    <w:qFormat/>
    <w:pPr>
      <w:ind w:firstLine="200"/>
      <w:spacing w:line="360" w:lineRule="auto"/>
    </w:pPr>
    <w:rPr>
      <w:rFonts w:ascii="仿宋_GB2312" w:hAnsi="Times New Roman" w:eastAsia="仿宋_GB2312" w:cs="Times New Roman"/>
      <w:sz w:val="30"/>
      <w:szCs w:val="30"/>
    </w:rPr>
  </w:style>
  <w:style w:type="paragraph" w:styleId="788">
    <w:name w:val="Body Text First Indent 2"/>
    <w:basedOn w:val="769"/>
    <w:uiPriority w:val="99"/>
    <w:unhideWhenUsed/>
    <w:qFormat/>
    <w:pPr>
      <w:ind w:firstLine="420"/>
    </w:pPr>
    <w:rPr>
      <w:rFonts w:asciiTheme="minorHAnsi" w:hAnsiTheme="minorHAnsi" w:eastAsiaTheme="minorEastAsia" w:cstheme="minorBidi"/>
    </w:rPr>
  </w:style>
  <w:style w:type="table" w:styleId="7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uiPriority w:val="0"/>
    <w:qFormat/>
    <w:rPr>
      <w:b/>
      <w:bCs/>
    </w:r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character" w:styleId="794" w:customStyle="1">
    <w:name w:val="Heading 1 Char"/>
    <w:link w:val="752"/>
    <w:uiPriority w:val="9"/>
    <w:qFormat/>
    <w:rPr>
      <w:rFonts w:ascii="Arial" w:hAnsi="Arial" w:eastAsia="Arial" w:cs="Arial"/>
      <w:sz w:val="40"/>
      <w:szCs w:val="40"/>
    </w:rPr>
  </w:style>
  <w:style w:type="character" w:styleId="795" w:customStyle="1">
    <w:name w:val="Heading 2 Char"/>
    <w:link w:val="753"/>
    <w:uiPriority w:val="9"/>
    <w:qFormat/>
    <w:rPr>
      <w:rFonts w:ascii="Arial" w:hAnsi="Arial" w:eastAsia="Arial" w:cs="Arial"/>
      <w:sz w:val="34"/>
    </w:rPr>
  </w:style>
  <w:style w:type="character" w:styleId="796" w:customStyle="1">
    <w:name w:val="Heading 3 Char"/>
    <w:link w:val="754"/>
    <w:uiPriority w:val="9"/>
    <w:qFormat/>
    <w:rPr>
      <w:rFonts w:ascii="Arial" w:hAnsi="Arial" w:eastAsia="Arial" w:cs="Arial"/>
      <w:sz w:val="30"/>
      <w:szCs w:val="30"/>
    </w:rPr>
  </w:style>
  <w:style w:type="character" w:styleId="797" w:customStyle="1">
    <w:name w:val="Heading 4 Char"/>
    <w:link w:val="755"/>
    <w:uiPriority w:val="9"/>
    <w:qFormat/>
    <w:rPr>
      <w:rFonts w:ascii="Arial" w:hAnsi="Arial" w:eastAsia="Arial" w:cs="Arial"/>
      <w:b/>
      <w:bCs/>
      <w:sz w:val="26"/>
      <w:szCs w:val="26"/>
    </w:rPr>
  </w:style>
  <w:style w:type="character" w:styleId="798" w:customStyle="1">
    <w:name w:val="Heading 5 Char"/>
    <w:link w:val="756"/>
    <w:uiPriority w:val="9"/>
    <w:qFormat/>
    <w:rPr>
      <w:rFonts w:ascii="Arial" w:hAnsi="Arial" w:eastAsia="Arial" w:cs="Arial"/>
      <w:b/>
      <w:bCs/>
      <w:sz w:val="24"/>
      <w:szCs w:val="24"/>
    </w:rPr>
  </w:style>
  <w:style w:type="character" w:styleId="799" w:customStyle="1">
    <w:name w:val="Heading 6 Char"/>
    <w:link w:val="757"/>
    <w:uiPriority w:val="9"/>
    <w:qFormat/>
    <w:rPr>
      <w:rFonts w:ascii="Arial" w:hAnsi="Arial" w:eastAsia="Arial" w:cs="Arial"/>
      <w:b/>
      <w:bCs/>
      <w:sz w:val="22"/>
      <w:szCs w:val="22"/>
    </w:rPr>
  </w:style>
  <w:style w:type="character" w:styleId="800" w:customStyle="1">
    <w:name w:val="Heading 7 Char"/>
    <w:link w:val="758"/>
    <w:uiPriority w:val="9"/>
    <w:qFormat/>
    <w:rPr>
      <w:rFonts w:ascii="Arial" w:hAnsi="Arial" w:eastAsia="Arial" w:cs="Arial"/>
      <w:b/>
      <w:bCs/>
      <w:i/>
      <w:iCs/>
      <w:sz w:val="22"/>
      <w:szCs w:val="22"/>
    </w:rPr>
  </w:style>
  <w:style w:type="character" w:styleId="801" w:customStyle="1">
    <w:name w:val="Heading 8 Char"/>
    <w:link w:val="759"/>
    <w:uiPriority w:val="9"/>
    <w:qFormat/>
    <w:rPr>
      <w:rFonts w:ascii="Arial" w:hAnsi="Arial" w:eastAsia="Arial" w:cs="Arial"/>
      <w:i/>
      <w:iCs/>
      <w:sz w:val="22"/>
      <w:szCs w:val="22"/>
    </w:rPr>
  </w:style>
  <w:style w:type="character" w:styleId="802" w:customStyle="1">
    <w:name w:val="Heading 9 Char"/>
    <w:link w:val="760"/>
    <w:uiPriority w:val="9"/>
    <w:qFormat/>
    <w:rPr>
      <w:rFonts w:ascii="Arial" w:hAnsi="Arial" w:eastAsia="Arial" w:cs="Arial"/>
      <w:i/>
      <w:iCs/>
      <w:sz w:val="21"/>
      <w:szCs w:val="21"/>
    </w:rPr>
  </w:style>
  <w:style w:type="paragraph" w:styleId="803">
    <w:name w:val="List Paragraph"/>
    <w:basedOn w:val="751"/>
    <w:uiPriority w:val="34"/>
    <w:qFormat/>
    <w:pPr>
      <w:contextualSpacing/>
      <w:ind w:left="720"/>
    </w:pPr>
  </w:style>
  <w:style w:type="paragraph" w:styleId="804">
    <w:name w:val="No Spacing"/>
    <w:uiPriority w:val="1"/>
    <w:qFormat/>
    <w:pPr>
      <w:spacing w:before="0" w:after="0" w:line="240" w:lineRule="auto"/>
    </w:pPr>
    <w:rPr>
      <w:rFonts w:hint="default" w:ascii="Calibri" w:hAnsi="Calibri" w:eastAsia="宋体" w:cs="Times New Roman"/>
    </w:rPr>
  </w:style>
  <w:style w:type="character" w:styleId="805" w:customStyle="1">
    <w:name w:val="Title Char"/>
    <w:link w:val="786"/>
    <w:uiPriority w:val="10"/>
    <w:qFormat/>
    <w:rPr>
      <w:sz w:val="48"/>
      <w:szCs w:val="48"/>
    </w:rPr>
  </w:style>
  <w:style w:type="character" w:styleId="806" w:customStyle="1">
    <w:name w:val="Subtitle Char"/>
    <w:link w:val="779"/>
    <w:uiPriority w:val="11"/>
    <w:qFormat/>
    <w:rPr>
      <w:sz w:val="24"/>
      <w:szCs w:val="24"/>
    </w:rPr>
  </w:style>
  <w:style w:type="paragraph" w:styleId="807">
    <w:name w:val="Quote"/>
    <w:basedOn w:val="751"/>
    <w:next w:val="751"/>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51"/>
    <w:next w:val="75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76"/>
    <w:uiPriority w:val="99"/>
    <w:qFormat/>
  </w:style>
  <w:style w:type="character" w:styleId="812" w:customStyle="1">
    <w:name w:val="Footer Char"/>
    <w:link w:val="775"/>
    <w:uiPriority w:val="99"/>
    <w:qFormat/>
  </w:style>
  <w:style w:type="character" w:styleId="813" w:customStyle="1">
    <w:name w:val="Caption Char"/>
    <w:link w:val="775"/>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80"/>
    <w:uiPriority w:val="99"/>
    <w:qFormat/>
    <w:rPr>
      <w:sz w:val="18"/>
    </w:rPr>
  </w:style>
  <w:style w:type="character" w:styleId="940" w:customStyle="1">
    <w:name w:val="Endnote Text Char"/>
    <w:link w:val="774"/>
    <w:uiPriority w:val="99"/>
    <w:qFormat/>
    <w:rPr>
      <w:sz w:val="20"/>
    </w:rPr>
  </w:style>
  <w:style w:type="paragraph" w:styleId="941" w:customStyle="1">
    <w:name w:val="TOC Heading"/>
    <w:uiPriority w:val="39"/>
    <w:unhideWhenUsed/>
    <w:qFormat/>
    <w:rPr>
      <w:rFonts w:hint="default" w:ascii="Calibri" w:hAnsi="Calibri" w:eastAsia="宋体" w:cs="Times New Roman"/>
    </w:rPr>
  </w:style>
  <w:style w:type="paragraph" w:styleId="942" w:customStyle="1">
    <w:name w:val="标题 11"/>
    <w:basedOn w:val="751"/>
    <w:next w:val="751"/>
    <w:link w:val="954"/>
    <w:uiPriority w:val="0"/>
    <w:qFormat/>
    <w:pPr>
      <w:jc w:val="center"/>
      <w:keepNext/>
      <w:outlineLvl w:val="0"/>
    </w:pPr>
    <w:rPr>
      <w:rFonts w:ascii="楷体_GB2312" w:eastAsia="楷体_GB2312"/>
      <w:sz w:val="28"/>
      <w:szCs w:val="28"/>
    </w:rPr>
  </w:style>
  <w:style w:type="paragraph" w:styleId="943" w:customStyle="1">
    <w:name w:val="标题 21"/>
    <w:basedOn w:val="751"/>
    <w:next w:val="751"/>
    <w:link w:val="9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4" w:customStyle="1">
    <w:name w:val="正文缩进1"/>
    <w:basedOn w:val="751"/>
    <w:link w:val="956"/>
    <w:uiPriority w:val="0"/>
    <w:qFormat/>
    <w:pPr>
      <w:ind w:firstLine="420"/>
    </w:pPr>
  </w:style>
  <w:style w:type="paragraph" w:styleId="945" w:customStyle="1">
    <w:name w:val="标题 31"/>
    <w:basedOn w:val="751"/>
    <w:next w:val="765"/>
    <w:link w:val="957"/>
    <w:uiPriority w:val="0"/>
    <w:qFormat/>
    <w:pPr>
      <w:keepLines/>
      <w:keepNext/>
      <w:spacing w:before="260" w:after="260" w:line="416" w:lineRule="auto"/>
      <w:outlineLvl w:val="2"/>
    </w:pPr>
    <w:rPr>
      <w:b/>
      <w:bCs/>
      <w:sz w:val="32"/>
      <w:szCs w:val="32"/>
    </w:rPr>
  </w:style>
  <w:style w:type="paragraph" w:styleId="946" w:customStyle="1">
    <w:name w:val="标题 41"/>
    <w:basedOn w:val="751"/>
    <w:next w:val="944"/>
    <w:link w:val="958"/>
    <w:uiPriority w:val="0"/>
    <w:qFormat/>
    <w:pPr>
      <w:keepLines/>
      <w:keepNext/>
      <w:spacing w:before="280" w:after="290" w:line="376" w:lineRule="auto"/>
      <w:outlineLvl w:val="3"/>
    </w:pPr>
    <w:rPr>
      <w:rFonts w:ascii="Arial" w:hAnsi="Arial" w:eastAsia="黑体" w:cs="Arial"/>
      <w:b/>
      <w:bCs/>
      <w:sz w:val="28"/>
      <w:szCs w:val="28"/>
    </w:rPr>
  </w:style>
  <w:style w:type="paragraph" w:styleId="947" w:customStyle="1">
    <w:name w:val="标题 51"/>
    <w:basedOn w:val="751"/>
    <w:next w:val="944"/>
    <w:link w:val="959"/>
    <w:uiPriority w:val="0"/>
    <w:qFormat/>
    <w:pPr>
      <w:keepNext/>
      <w:outlineLvl w:val="4"/>
    </w:pPr>
    <w:rPr>
      <w:rFonts w:ascii="宋体"/>
      <w:color w:val="000000"/>
      <w:sz w:val="28"/>
      <w:szCs w:val="28"/>
    </w:rPr>
  </w:style>
  <w:style w:type="paragraph" w:styleId="948" w:customStyle="1">
    <w:name w:val="标题 61"/>
    <w:basedOn w:val="751"/>
    <w:next w:val="751"/>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9" w:customStyle="1">
    <w:name w:val="标题 71"/>
    <w:basedOn w:val="751"/>
    <w:next w:val="751"/>
    <w:link w:val="961"/>
    <w:uiPriority w:val="0"/>
    <w:qFormat/>
    <w:pPr>
      <w:numPr>
        <w:ilvl w:val="6"/>
        <w:numId w:val="1"/>
      </w:numPr>
      <w:keepLines/>
      <w:keepNext/>
      <w:spacing w:before="240" w:after="64" w:line="320" w:lineRule="auto"/>
      <w:outlineLvl w:val="6"/>
    </w:pPr>
    <w:rPr>
      <w:b/>
      <w:bCs/>
      <w:sz w:val="24"/>
      <w:szCs w:val="24"/>
    </w:rPr>
  </w:style>
  <w:style w:type="paragraph" w:styleId="950" w:customStyle="1">
    <w:name w:val="标题 81"/>
    <w:basedOn w:val="751"/>
    <w:next w:val="751"/>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1" w:customStyle="1">
    <w:name w:val="标题 91"/>
    <w:basedOn w:val="751"/>
    <w:next w:val="751"/>
    <w:link w:val="963"/>
    <w:uiPriority w:val="0"/>
    <w:qFormat/>
    <w:pPr>
      <w:numPr>
        <w:ilvl w:val="8"/>
        <w:numId w:val="1"/>
      </w:numPr>
      <w:keepLines/>
      <w:keepNext/>
      <w:spacing w:before="240" w:after="64" w:line="320" w:lineRule="auto"/>
      <w:outlineLvl w:val="8"/>
    </w:pPr>
    <w:rPr>
      <w:rFonts w:ascii="Arial" w:hAnsi="Arial" w:eastAsia="黑体"/>
    </w:rPr>
  </w:style>
  <w:style w:type="character" w:styleId="952" w:customStyle="1">
    <w:name w:val="默认段落字体1"/>
    <w:link w:val="751"/>
    <w:uiPriority w:val="1"/>
    <w:unhideWhenUsed/>
    <w:qFormat/>
  </w:style>
  <w:style w:type="table" w:styleId="953" w:customStyle="1">
    <w:name w:val="普通表格1"/>
    <w:uiPriority w:val="99"/>
    <w:unhideWhenUsed/>
    <w:qFormat/>
    <w:tblPr/>
  </w:style>
  <w:style w:type="character" w:styleId="954" w:customStyle="1">
    <w:name w:val="标题 1 Char"/>
    <w:link w:val="942"/>
    <w:uiPriority w:val="0"/>
    <w:qFormat/>
    <w:rPr>
      <w:rFonts w:ascii="楷体_GB2312" w:hAnsi="Times New Roman" w:eastAsia="楷体_GB2312" w:cs="Times New Roman"/>
      <w:sz w:val="28"/>
      <w:szCs w:val="28"/>
    </w:rPr>
  </w:style>
  <w:style w:type="character" w:styleId="955" w:customStyle="1">
    <w:name w:val="标题 2 Char"/>
    <w:link w:val="943"/>
    <w:uiPriority w:val="0"/>
    <w:qFormat/>
    <w:rPr>
      <w:rFonts w:ascii="Arial" w:hAnsi="Arial" w:eastAsia="幼圆" w:cs="Arial"/>
      <w:b/>
      <w:bCs/>
      <w:sz w:val="44"/>
      <w:szCs w:val="44"/>
    </w:rPr>
  </w:style>
  <w:style w:type="character" w:styleId="956" w:customStyle="1">
    <w:name w:val="正文缩进 Char"/>
    <w:link w:val="944"/>
    <w:uiPriority w:val="0"/>
    <w:qFormat/>
    <w:rPr>
      <w:rFonts w:ascii="Times New Roman" w:hAnsi="Times New Roman" w:eastAsia="宋体" w:cs="Times New Roman"/>
      <w:szCs w:val="21"/>
    </w:rPr>
  </w:style>
  <w:style w:type="character" w:styleId="957" w:customStyle="1">
    <w:name w:val="标题 3 Char"/>
    <w:link w:val="945"/>
    <w:uiPriority w:val="0"/>
    <w:qFormat/>
    <w:rPr>
      <w:rFonts w:ascii="Times New Roman" w:hAnsi="Times New Roman" w:eastAsia="宋体" w:cs="Times New Roman"/>
      <w:b/>
      <w:bCs/>
      <w:sz w:val="32"/>
      <w:szCs w:val="32"/>
    </w:rPr>
  </w:style>
  <w:style w:type="character" w:styleId="958" w:customStyle="1">
    <w:name w:val="标题 4 Char"/>
    <w:link w:val="946"/>
    <w:uiPriority w:val="0"/>
    <w:qFormat/>
    <w:rPr>
      <w:rFonts w:ascii="Arial" w:hAnsi="Arial" w:eastAsia="黑体" w:cs="Arial"/>
      <w:b/>
      <w:bCs/>
      <w:sz w:val="28"/>
      <w:szCs w:val="28"/>
    </w:rPr>
  </w:style>
  <w:style w:type="character" w:styleId="959" w:customStyle="1">
    <w:name w:val="标题 5 Char"/>
    <w:link w:val="947"/>
    <w:uiPriority w:val="0"/>
    <w:qFormat/>
    <w:rPr>
      <w:rFonts w:ascii="宋体" w:hAnsi="Times New Roman" w:eastAsia="宋体" w:cs="Times New Roman"/>
      <w:color w:val="000000"/>
      <w:sz w:val="28"/>
      <w:szCs w:val="28"/>
    </w:rPr>
  </w:style>
  <w:style w:type="character" w:styleId="960" w:customStyle="1">
    <w:name w:val="标题 6 Char"/>
    <w:link w:val="948"/>
    <w:uiPriority w:val="0"/>
    <w:qFormat/>
    <w:rPr>
      <w:rFonts w:ascii="Arial" w:hAnsi="Arial" w:eastAsia="黑体" w:cs="Times New Roman"/>
      <w:b/>
      <w:bCs/>
      <w:sz w:val="24"/>
      <w:szCs w:val="24"/>
    </w:rPr>
  </w:style>
  <w:style w:type="character" w:styleId="961" w:customStyle="1">
    <w:name w:val="标题 7 Char"/>
    <w:link w:val="949"/>
    <w:uiPriority w:val="0"/>
    <w:qFormat/>
    <w:rPr>
      <w:rFonts w:ascii="Times New Roman" w:hAnsi="Times New Roman" w:eastAsia="宋体" w:cs="Times New Roman"/>
      <w:b/>
      <w:bCs/>
      <w:sz w:val="24"/>
      <w:szCs w:val="24"/>
    </w:rPr>
  </w:style>
  <w:style w:type="character" w:styleId="962" w:customStyle="1">
    <w:name w:val="标题 8 Char"/>
    <w:link w:val="950"/>
    <w:uiPriority w:val="0"/>
    <w:qFormat/>
    <w:rPr>
      <w:rFonts w:ascii="Arial" w:hAnsi="Arial" w:eastAsia="黑体" w:cs="Times New Roman"/>
      <w:sz w:val="24"/>
      <w:szCs w:val="24"/>
    </w:rPr>
  </w:style>
  <w:style w:type="character" w:styleId="963" w:customStyle="1">
    <w:name w:val="标题 9 Char"/>
    <w:link w:val="951"/>
    <w:uiPriority w:val="0"/>
    <w:qFormat/>
    <w:rPr>
      <w:rFonts w:ascii="Arial" w:hAnsi="Arial" w:eastAsia="黑体" w:cs="Times New Roman"/>
      <w:szCs w:val="21"/>
    </w:rPr>
  </w:style>
  <w:style w:type="paragraph" w:styleId="964" w:customStyle="1">
    <w:name w:val="列表 31"/>
    <w:basedOn w:val="751"/>
    <w:uiPriority w:val="0"/>
    <w:qFormat/>
    <w:pPr>
      <w:ind w:left="100" w:hanging="200"/>
    </w:pPr>
  </w:style>
  <w:style w:type="paragraph" w:styleId="965" w:customStyle="1">
    <w:name w:val="目录 71"/>
    <w:basedOn w:val="751"/>
    <w:next w:val="751"/>
    <w:uiPriority w:val="0"/>
    <w:semiHidden/>
    <w:qFormat/>
    <w:pPr>
      <w:ind w:left="1260"/>
      <w:jc w:val="left"/>
    </w:pPr>
  </w:style>
  <w:style w:type="paragraph" w:styleId="966" w:customStyle="1">
    <w:name w:val="文档结构图1"/>
    <w:basedOn w:val="751"/>
    <w:link w:val="967"/>
    <w:uiPriority w:val="0"/>
    <w:semiHidden/>
    <w:qFormat/>
    <w:pPr>
      <w:shd w:val="clear" w:color="auto" w:fill="000080"/>
    </w:pPr>
  </w:style>
  <w:style w:type="character" w:styleId="967" w:customStyle="1">
    <w:name w:val="文档结构图 Char"/>
    <w:link w:val="966"/>
    <w:uiPriority w:val="0"/>
    <w:semiHidden/>
    <w:qFormat/>
    <w:rPr>
      <w:rFonts w:ascii="Times New Roman" w:hAnsi="Times New Roman" w:eastAsia="宋体" w:cs="Times New Roman"/>
      <w:szCs w:val="21"/>
      <w:shd w:val="clear" w:color="auto" w:fill="000080"/>
    </w:rPr>
  </w:style>
  <w:style w:type="paragraph" w:styleId="968" w:customStyle="1">
    <w:name w:val="批注文字1"/>
    <w:basedOn w:val="751"/>
    <w:link w:val="969"/>
    <w:uiPriority w:val="0"/>
    <w:semiHidden/>
    <w:qFormat/>
    <w:pPr>
      <w:jc w:val="left"/>
    </w:pPr>
  </w:style>
  <w:style w:type="character" w:styleId="969" w:customStyle="1">
    <w:name w:val="批注文字 Char"/>
    <w:link w:val="968"/>
    <w:uiPriority w:val="0"/>
    <w:semiHidden/>
    <w:qFormat/>
    <w:rPr>
      <w:rFonts w:ascii="Times New Roman" w:hAnsi="Times New Roman" w:eastAsia="宋体" w:cs="Times New Roman"/>
      <w:szCs w:val="21"/>
    </w:rPr>
  </w:style>
  <w:style w:type="paragraph" w:styleId="970" w:customStyle="1">
    <w:name w:val="正文文本 31"/>
    <w:basedOn w:val="751"/>
    <w:link w:val="971"/>
    <w:uiPriority w:val="0"/>
    <w:qFormat/>
    <w:rPr>
      <w:rFonts w:ascii="仿宋_GB2312" w:hAnsi="Arial" w:eastAsia="仿宋_GB2312"/>
      <w:sz w:val="32"/>
      <w:szCs w:val="32"/>
    </w:rPr>
  </w:style>
  <w:style w:type="character" w:styleId="971" w:customStyle="1">
    <w:name w:val="正文文本 3 Char"/>
    <w:link w:val="970"/>
    <w:uiPriority w:val="0"/>
    <w:qFormat/>
    <w:rPr>
      <w:rFonts w:ascii="仿宋_GB2312" w:hAnsi="Arial" w:eastAsia="仿宋_GB2312" w:cs="Times New Roman"/>
      <w:sz w:val="32"/>
      <w:szCs w:val="32"/>
    </w:rPr>
  </w:style>
  <w:style w:type="paragraph" w:styleId="972" w:customStyle="1">
    <w:name w:val="正文文本1"/>
    <w:basedOn w:val="751"/>
    <w:next w:val="973"/>
    <w:link w:val="976"/>
    <w:uiPriority w:val="0"/>
    <w:qFormat/>
    <w:rPr>
      <w:rFonts w:ascii="楷体_GB2312" w:hAnsi="Arial" w:eastAsia="楷体_GB2312"/>
      <w:sz w:val="28"/>
      <w:szCs w:val="28"/>
    </w:rPr>
  </w:style>
  <w:style w:type="paragraph" w:styleId="973" w:customStyle="1">
    <w:name w:val="一级条标题"/>
    <w:basedOn w:val="974"/>
    <w:next w:val="9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customStyle="1">
    <w:name w:val="章标题"/>
    <w:next w:val="75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5" w:customStyle="1">
    <w:name w:val="段"/>
    <w:next w:val="751"/>
    <w:uiPriority w:val="0"/>
    <w:qFormat/>
    <w:pPr>
      <w:ind w:firstLine="200"/>
      <w:jc w:val="both"/>
    </w:pPr>
    <w:rPr>
      <w:rFonts w:ascii="宋体" w:hAnsi="Times New Roman" w:eastAsia="宋体" w:cs="Times New Roman"/>
      <w:sz w:val="21"/>
      <w:lang w:val="en-US" w:eastAsia="zh-CN" w:bidi="ar-SA"/>
    </w:rPr>
  </w:style>
  <w:style w:type="character" w:styleId="976" w:customStyle="1">
    <w:name w:val="正文文本 Char"/>
    <w:link w:val="972"/>
    <w:uiPriority w:val="0"/>
    <w:qFormat/>
    <w:rPr>
      <w:rFonts w:ascii="楷体_GB2312" w:hAnsi="Arial" w:eastAsia="楷体_GB2312" w:cs="Times New Roman"/>
      <w:sz w:val="28"/>
      <w:szCs w:val="28"/>
    </w:rPr>
  </w:style>
  <w:style w:type="paragraph" w:styleId="977" w:customStyle="1">
    <w:name w:val="正文文本缩进1"/>
    <w:basedOn w:val="751"/>
    <w:link w:val="978"/>
    <w:uiPriority w:val="0"/>
    <w:qFormat/>
    <w:pPr>
      <w:ind w:firstLine="645"/>
    </w:pPr>
    <w:rPr>
      <w:rFonts w:ascii="楷体_GB2312" w:eastAsia="楷体_GB2312"/>
      <w:sz w:val="32"/>
      <w:szCs w:val="32"/>
    </w:rPr>
  </w:style>
  <w:style w:type="character" w:styleId="978" w:customStyle="1">
    <w:name w:val="正文文本缩进 Char"/>
    <w:link w:val="977"/>
    <w:uiPriority w:val="0"/>
    <w:qFormat/>
    <w:rPr>
      <w:rFonts w:ascii="楷体_GB2312" w:hAnsi="Times New Roman" w:eastAsia="楷体_GB2312" w:cs="Times New Roman"/>
      <w:sz w:val="32"/>
      <w:szCs w:val="32"/>
    </w:rPr>
  </w:style>
  <w:style w:type="paragraph" w:styleId="979" w:customStyle="1">
    <w:name w:val="列表 21"/>
    <w:basedOn w:val="751"/>
    <w:uiPriority w:val="0"/>
    <w:qFormat/>
    <w:pPr>
      <w:ind w:left="100" w:hanging="200"/>
    </w:pPr>
  </w:style>
  <w:style w:type="paragraph" w:styleId="980" w:customStyle="1">
    <w:name w:val="目录 51"/>
    <w:basedOn w:val="751"/>
    <w:next w:val="751"/>
    <w:uiPriority w:val="0"/>
    <w:semiHidden/>
    <w:qFormat/>
    <w:pPr>
      <w:ind w:left="840"/>
      <w:jc w:val="left"/>
    </w:pPr>
  </w:style>
  <w:style w:type="paragraph" w:styleId="981" w:customStyle="1">
    <w:name w:val="目录 31"/>
    <w:basedOn w:val="751"/>
    <w:next w:val="751"/>
    <w:uiPriority w:val="0"/>
    <w:semiHidden/>
    <w:qFormat/>
    <w:pPr>
      <w:ind w:left="420"/>
      <w:jc w:val="left"/>
    </w:pPr>
    <w:rPr>
      <w:i/>
      <w:iCs/>
      <w:szCs w:val="24"/>
    </w:rPr>
  </w:style>
  <w:style w:type="paragraph" w:styleId="982" w:customStyle="1">
    <w:name w:val="纯文本1"/>
    <w:basedOn w:val="751"/>
    <w:link w:val="983"/>
    <w:uiPriority w:val="0"/>
    <w:qFormat/>
    <w:rPr>
      <w:rFonts w:ascii="宋体" w:hAnsi="Courier New" w:cs="Courier New"/>
    </w:rPr>
  </w:style>
  <w:style w:type="character" w:styleId="983" w:customStyle="1">
    <w:name w:val="纯文本 Char"/>
    <w:link w:val="982"/>
    <w:uiPriority w:val="0"/>
    <w:qFormat/>
    <w:rPr>
      <w:rFonts w:ascii="宋体" w:hAnsi="Courier New" w:eastAsia="宋体" w:cs="Courier New"/>
      <w:szCs w:val="21"/>
    </w:rPr>
  </w:style>
  <w:style w:type="paragraph" w:styleId="984" w:customStyle="1">
    <w:name w:val="目录 81"/>
    <w:basedOn w:val="751"/>
    <w:next w:val="751"/>
    <w:uiPriority w:val="0"/>
    <w:semiHidden/>
    <w:qFormat/>
    <w:pPr>
      <w:ind w:left="1470"/>
      <w:jc w:val="left"/>
    </w:pPr>
  </w:style>
  <w:style w:type="paragraph" w:styleId="985" w:customStyle="1">
    <w:name w:val="日期1"/>
    <w:basedOn w:val="751"/>
    <w:next w:val="751"/>
    <w:link w:val="986"/>
    <w:uiPriority w:val="0"/>
    <w:qFormat/>
    <w:rPr>
      <w:sz w:val="24"/>
      <w:szCs w:val="24"/>
    </w:rPr>
  </w:style>
  <w:style w:type="character" w:styleId="986" w:customStyle="1">
    <w:name w:val="日期 Char"/>
    <w:link w:val="985"/>
    <w:uiPriority w:val="0"/>
    <w:qFormat/>
    <w:rPr>
      <w:rFonts w:ascii="Times New Roman" w:hAnsi="Times New Roman" w:eastAsia="宋体" w:cs="Times New Roman"/>
      <w:sz w:val="24"/>
      <w:szCs w:val="24"/>
    </w:rPr>
  </w:style>
  <w:style w:type="paragraph" w:styleId="987" w:customStyle="1">
    <w:name w:val="正文文本缩进 21"/>
    <w:basedOn w:val="751"/>
    <w:link w:val="988"/>
    <w:uiPriority w:val="0"/>
    <w:qFormat/>
    <w:pPr>
      <w:ind w:left="630" w:firstLine="645"/>
    </w:pPr>
    <w:rPr>
      <w:rFonts w:ascii="Arial" w:hAnsi="Arial" w:eastAsia="仿宋_GB2312" w:cs="Arial"/>
      <w:sz w:val="32"/>
      <w:szCs w:val="32"/>
    </w:rPr>
  </w:style>
  <w:style w:type="character" w:styleId="988" w:customStyle="1">
    <w:name w:val="正文文本缩进 2 Char"/>
    <w:link w:val="987"/>
    <w:uiPriority w:val="0"/>
    <w:qFormat/>
    <w:rPr>
      <w:rFonts w:ascii="Arial" w:hAnsi="Arial" w:eastAsia="仿宋_GB2312" w:cs="Arial"/>
      <w:sz w:val="32"/>
      <w:szCs w:val="32"/>
    </w:rPr>
  </w:style>
  <w:style w:type="paragraph" w:styleId="989" w:customStyle="1">
    <w:name w:val="批注框文本1"/>
    <w:basedOn w:val="751"/>
    <w:link w:val="990"/>
    <w:uiPriority w:val="0"/>
    <w:semiHidden/>
    <w:qFormat/>
    <w:rPr>
      <w:sz w:val="18"/>
      <w:szCs w:val="18"/>
    </w:rPr>
  </w:style>
  <w:style w:type="character" w:styleId="990" w:customStyle="1">
    <w:name w:val="批注框文本 Char"/>
    <w:link w:val="989"/>
    <w:uiPriority w:val="0"/>
    <w:semiHidden/>
    <w:qFormat/>
    <w:rPr>
      <w:rFonts w:ascii="Times New Roman" w:hAnsi="Times New Roman" w:eastAsia="宋体" w:cs="Times New Roman"/>
      <w:sz w:val="18"/>
      <w:szCs w:val="18"/>
    </w:rPr>
  </w:style>
  <w:style w:type="paragraph" w:styleId="991" w:customStyle="1">
    <w:name w:val="页脚1"/>
    <w:basedOn w:val="751"/>
    <w:link w:val="992"/>
    <w:uiPriority w:val="99"/>
    <w:qFormat/>
    <w:pPr>
      <w:jc w:val="left"/>
      <w:tabs>
        <w:tab w:val="center" w:pos="4153" w:leader="none"/>
        <w:tab w:val="right" w:pos="8306" w:leader="none"/>
      </w:tabs>
    </w:pPr>
    <w:rPr>
      <w:sz w:val="18"/>
      <w:szCs w:val="18"/>
    </w:rPr>
  </w:style>
  <w:style w:type="character" w:styleId="992" w:customStyle="1">
    <w:name w:val="页脚 Char"/>
    <w:link w:val="991"/>
    <w:uiPriority w:val="99"/>
    <w:qFormat/>
    <w:rPr>
      <w:rFonts w:ascii="Times New Roman" w:hAnsi="Times New Roman" w:eastAsia="宋体" w:cs="Times New Roman"/>
      <w:sz w:val="18"/>
      <w:szCs w:val="18"/>
    </w:rPr>
  </w:style>
  <w:style w:type="paragraph" w:styleId="993" w:customStyle="1">
    <w:name w:val="页眉1"/>
    <w:basedOn w:val="751"/>
    <w:link w:val="994"/>
    <w:uiPriority w:val="0"/>
    <w:qFormat/>
    <w:pPr>
      <w:jc w:val="center"/>
      <w:tabs>
        <w:tab w:val="center" w:pos="4153" w:leader="none"/>
        <w:tab w:val="right" w:pos="8306" w:leader="none"/>
      </w:tabs>
      <w:pBdr>
        <w:bottom w:val="single" w:color="000000" w:sz="6" w:space="1"/>
      </w:pBdr>
    </w:pPr>
    <w:rPr>
      <w:sz w:val="18"/>
      <w:szCs w:val="18"/>
    </w:rPr>
  </w:style>
  <w:style w:type="character" w:styleId="994" w:customStyle="1">
    <w:name w:val="页眉 Char"/>
    <w:link w:val="993"/>
    <w:uiPriority w:val="0"/>
    <w:qFormat/>
    <w:rPr>
      <w:rFonts w:ascii="Times New Roman" w:hAnsi="Times New Roman" w:eastAsia="宋体" w:cs="Times New Roman"/>
      <w:sz w:val="18"/>
      <w:szCs w:val="18"/>
    </w:rPr>
  </w:style>
  <w:style w:type="paragraph" w:styleId="995" w:customStyle="1">
    <w:name w:val="目录 1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996" w:customStyle="1">
    <w:name w:val="目录 41"/>
    <w:basedOn w:val="751"/>
    <w:next w:val="751"/>
    <w:uiPriority w:val="0"/>
    <w:semiHidden/>
    <w:qFormat/>
    <w:pPr>
      <w:ind w:left="630"/>
      <w:jc w:val="left"/>
    </w:pPr>
  </w:style>
  <w:style w:type="paragraph" w:styleId="997" w:customStyle="1">
    <w:name w:val="列表1"/>
    <w:basedOn w:val="751"/>
    <w:uiPriority w:val="0"/>
    <w:qFormat/>
    <w:pPr>
      <w:ind w:left="200" w:hanging="200"/>
    </w:pPr>
  </w:style>
  <w:style w:type="paragraph" w:styleId="998" w:customStyle="1">
    <w:name w:val="目录 61"/>
    <w:basedOn w:val="751"/>
    <w:next w:val="751"/>
    <w:uiPriority w:val="0"/>
    <w:semiHidden/>
    <w:qFormat/>
    <w:pPr>
      <w:ind w:left="1050"/>
      <w:jc w:val="left"/>
    </w:pPr>
  </w:style>
  <w:style w:type="paragraph" w:styleId="999" w:customStyle="1">
    <w:name w:val="正文文本缩进 31"/>
    <w:basedOn w:val="751"/>
    <w:link w:val="1000"/>
    <w:uiPriority w:val="0"/>
    <w:qFormat/>
    <w:pPr>
      <w:ind w:left="645" w:firstLine="645"/>
    </w:pPr>
    <w:rPr>
      <w:rFonts w:ascii="Arial" w:hAnsi="Arial" w:eastAsia="仿宋_GB2312" w:cs="Arial"/>
      <w:color w:val="ffff00"/>
      <w:sz w:val="32"/>
      <w:szCs w:val="32"/>
    </w:rPr>
  </w:style>
  <w:style w:type="character" w:styleId="1000" w:customStyle="1">
    <w:name w:val="正文文本缩进 3 Char"/>
    <w:link w:val="999"/>
    <w:uiPriority w:val="0"/>
    <w:qFormat/>
    <w:rPr>
      <w:rFonts w:ascii="Arial" w:hAnsi="Arial" w:eastAsia="仿宋_GB2312" w:cs="Arial"/>
      <w:color w:val="ffff00"/>
      <w:sz w:val="32"/>
      <w:szCs w:val="32"/>
    </w:rPr>
  </w:style>
  <w:style w:type="paragraph" w:styleId="1001" w:customStyle="1">
    <w:name w:val="图表目录1"/>
    <w:basedOn w:val="751"/>
    <w:next w:val="751"/>
    <w:uiPriority w:val="0"/>
    <w:semiHidden/>
    <w:qFormat/>
    <w:pPr>
      <w:ind w:left="840" w:hanging="420"/>
    </w:pPr>
  </w:style>
  <w:style w:type="paragraph" w:styleId="1002" w:customStyle="1">
    <w:name w:val="目录 21"/>
    <w:basedOn w:val="751"/>
    <w:next w:val="751"/>
    <w:uiPriority w:val="0"/>
    <w:semiHidden/>
    <w:qFormat/>
    <w:pPr>
      <w:ind w:left="210"/>
      <w:jc w:val="left"/>
    </w:pPr>
    <w:rPr>
      <w:smallCaps/>
      <w:szCs w:val="24"/>
    </w:rPr>
  </w:style>
  <w:style w:type="paragraph" w:styleId="1003" w:customStyle="1">
    <w:name w:val="目录 91"/>
    <w:basedOn w:val="751"/>
    <w:next w:val="751"/>
    <w:uiPriority w:val="0"/>
    <w:semiHidden/>
    <w:qFormat/>
    <w:pPr>
      <w:ind w:left="1680"/>
      <w:jc w:val="left"/>
    </w:pPr>
  </w:style>
  <w:style w:type="paragraph" w:styleId="1004" w:customStyle="1">
    <w:name w:val="正文文本 21"/>
    <w:basedOn w:val="751"/>
    <w:link w:val="1005"/>
    <w:uiPriority w:val="0"/>
    <w:qFormat/>
    <w:pPr>
      <w:jc w:val="center"/>
      <w:widowControl/>
    </w:pPr>
    <w:rPr>
      <w:rFonts w:ascii="楷体_GB2312" w:eastAsia="楷体_GB2312"/>
      <w:sz w:val="28"/>
      <w:szCs w:val="28"/>
    </w:rPr>
  </w:style>
  <w:style w:type="character" w:styleId="1005" w:customStyle="1">
    <w:name w:val="正文文本 2 Char"/>
    <w:link w:val="1004"/>
    <w:uiPriority w:val="0"/>
    <w:qFormat/>
    <w:rPr>
      <w:rFonts w:ascii="楷体_GB2312" w:hAnsi="Times New Roman" w:eastAsia="楷体_GB2312" w:cs="Times New Roman"/>
      <w:sz w:val="28"/>
      <w:szCs w:val="28"/>
    </w:rPr>
  </w:style>
  <w:style w:type="paragraph" w:styleId="1006"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1007" w:customStyle="1">
    <w:name w:val="索引 11"/>
    <w:basedOn w:val="751"/>
    <w:next w:val="751"/>
    <w:uiPriority w:val="0"/>
    <w:semiHidden/>
    <w:qFormat/>
    <w:pPr>
      <w:spacing w:line="240" w:lineRule="atLeast"/>
    </w:pPr>
    <w:rPr>
      <w:b/>
      <w:bCs/>
    </w:rPr>
  </w:style>
  <w:style w:type="paragraph" w:styleId="1008" w:customStyle="1">
    <w:name w:val="批注主题1"/>
    <w:basedOn w:val="968"/>
    <w:next w:val="968"/>
    <w:link w:val="1009"/>
    <w:uiPriority w:val="0"/>
    <w:semiHidden/>
    <w:qFormat/>
    <w:rPr>
      <w:b/>
      <w:bCs/>
    </w:rPr>
  </w:style>
  <w:style w:type="character" w:styleId="1009" w:customStyle="1">
    <w:name w:val="批注主题 Char"/>
    <w:link w:val="1008"/>
    <w:uiPriority w:val="0"/>
    <w:semiHidden/>
    <w:qFormat/>
    <w:rPr>
      <w:rFonts w:ascii="Times New Roman" w:hAnsi="Times New Roman" w:eastAsia="宋体" w:cs="Times New Roman"/>
      <w:b/>
      <w:bCs/>
      <w:szCs w:val="21"/>
    </w:rPr>
  </w:style>
  <w:style w:type="paragraph" w:styleId="1010" w:customStyle="1">
    <w:name w:val="正文首行缩进1"/>
    <w:basedOn w:val="751"/>
    <w:link w:val="1011"/>
    <w:uiPriority w:val="0"/>
    <w:qFormat/>
    <w:pPr>
      <w:ind w:firstLine="200"/>
      <w:spacing w:line="360" w:lineRule="auto"/>
    </w:pPr>
    <w:rPr>
      <w:rFonts w:ascii="仿宋_GB2312" w:eastAsia="仿宋_GB2312"/>
      <w:sz w:val="30"/>
      <w:szCs w:val="30"/>
    </w:rPr>
  </w:style>
  <w:style w:type="character" w:styleId="1011" w:customStyle="1">
    <w:name w:val="正文首行缩进 Char"/>
    <w:link w:val="1010"/>
    <w:uiPriority w:val="0"/>
    <w:qFormat/>
    <w:rPr>
      <w:rFonts w:ascii="仿宋_GB2312" w:hAnsi="Times New Roman" w:eastAsia="仿宋_GB2312" w:cs="Times New Roman"/>
      <w:sz w:val="30"/>
      <w:szCs w:val="30"/>
    </w:rPr>
  </w:style>
  <w:style w:type="paragraph" w:styleId="1012" w:customStyle="1">
    <w:name w:val="正文首行缩进 21"/>
    <w:basedOn w:val="977"/>
    <w:link w:val="1013"/>
    <w:uiPriority w:val="0"/>
    <w:qFormat/>
    <w:pPr>
      <w:ind w:firstLine="420"/>
      <w:spacing w:line="360" w:lineRule="auto"/>
    </w:pPr>
    <w:rPr>
      <w:rFonts w:ascii="宋体" w:hAnsi="宋体" w:eastAsia="宋体"/>
      <w:sz w:val="21"/>
      <w:szCs w:val="20"/>
    </w:rPr>
  </w:style>
  <w:style w:type="character" w:styleId="1013" w:customStyle="1">
    <w:name w:val="正文首行缩进 2 Char"/>
    <w:link w:val="1012"/>
    <w:uiPriority w:val="0"/>
    <w:qFormat/>
    <w:rPr>
      <w:rFonts w:ascii="宋体" w:hAnsi="宋体" w:eastAsia="宋体" w:cs="Times New Roman"/>
      <w:sz w:val="32"/>
      <w:szCs w:val="20"/>
    </w:rPr>
  </w:style>
  <w:style w:type="table" w:styleId="1014" w:customStyle="1">
    <w:name w:val="网格型1"/>
    <w:basedOn w:val="953"/>
    <w:uiPriority w:val="0"/>
    <w:qFormat/>
    <w:pPr>
      <w:jc w:val="both"/>
      <w:widowControl w:val="off"/>
    </w:pPr>
    <w:rPr>
      <w:rFonts w:ascii="Times New Roman" w:hAnsi="Times New Roman" w:eastAsia="宋体" w:cs="Times New Roman"/>
      <w:sz w:val="20"/>
      <w:szCs w:val="20"/>
    </w:rPr>
    <w:tblPr/>
  </w:style>
  <w:style w:type="character" w:styleId="1015" w:customStyle="1">
    <w:name w:val="要点1"/>
    <w:link w:val="751"/>
    <w:uiPriority w:val="0"/>
    <w:qFormat/>
    <w:rPr>
      <w:b/>
      <w:bCs/>
    </w:rPr>
  </w:style>
  <w:style w:type="character" w:styleId="1016" w:customStyle="1">
    <w:name w:val="页码1"/>
    <w:link w:val="751"/>
    <w:uiPriority w:val="0"/>
    <w:qFormat/>
  </w:style>
  <w:style w:type="character" w:styleId="1017" w:customStyle="1">
    <w:name w:val="已访问的超链接1"/>
    <w:link w:val="751"/>
    <w:uiPriority w:val="0"/>
    <w:qFormat/>
    <w:rPr>
      <w:color w:val="800080"/>
      <w:u w:val="single"/>
    </w:rPr>
  </w:style>
  <w:style w:type="character" w:styleId="1018" w:customStyle="1">
    <w:name w:val="超链接1"/>
    <w:link w:val="751"/>
    <w:uiPriority w:val="0"/>
    <w:qFormat/>
    <w:rPr>
      <w:color w:val="0000ff"/>
      <w:u w:val="single"/>
    </w:rPr>
  </w:style>
  <w:style w:type="character" w:styleId="1019" w:customStyle="1">
    <w:name w:val="批注引用1"/>
    <w:link w:val="751"/>
    <w:uiPriority w:val="0"/>
    <w:semiHidden/>
    <w:qFormat/>
    <w:rPr>
      <w:sz w:val="21"/>
      <w:szCs w:val="21"/>
    </w:rPr>
  </w:style>
  <w:style w:type="character" w:styleId="1020" w:customStyle="1">
    <w:name w:val="font5 Char"/>
    <w:link w:val="751"/>
    <w:uiPriority w:val="0"/>
    <w:qFormat/>
    <w:rPr>
      <w:rFonts w:ascii="宋体" w:hAnsi="宋体" w:eastAsia="宋体"/>
      <w:sz w:val="28"/>
      <w:szCs w:val="28"/>
      <w:lang w:val="en-US" w:eastAsia="zh-CN" w:bidi="ar-SA"/>
    </w:rPr>
  </w:style>
  <w:style w:type="character" w:styleId="1021" w:customStyle="1">
    <w:name w:val="二级目录 Char"/>
    <w:link w:val="1022"/>
    <w:uiPriority w:val="0"/>
    <w:qFormat/>
    <w:rPr>
      <w:b/>
      <w:sz w:val="30"/>
      <w:szCs w:val="28"/>
    </w:rPr>
  </w:style>
  <w:style w:type="paragraph" w:styleId="1022" w:customStyle="1">
    <w:name w:val="二级目录"/>
    <w:next w:val="751"/>
    <w:link w:val="102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23" w:customStyle="1">
    <w:name w:val="列出段落 Char"/>
    <w:link w:val="1024"/>
    <w:uiPriority w:val="0"/>
    <w:qFormat/>
    <w:rPr>
      <w:rFonts w:ascii="Calibri" w:hAnsi="Calibri"/>
      <w:sz w:val="24"/>
      <w:szCs w:val="24"/>
      <w:lang w:eastAsia="en-US" w:bidi="en-US"/>
    </w:rPr>
  </w:style>
  <w:style w:type="paragraph" w:styleId="1024" w:customStyle="1">
    <w:name w:val="列出段落1"/>
    <w:basedOn w:val="751"/>
    <w:link w:val="1023"/>
    <w:uiPriority w:val="0"/>
    <w:qFormat/>
    <w:pPr>
      <w:contextualSpacing/>
      <w:ind w:left="720"/>
      <w:jc w:val="left"/>
      <w:widowControl/>
    </w:pPr>
    <w:rPr>
      <w:rFonts w:ascii="Calibri" w:hAnsi="Calibri" w:eastAsia="宋体" w:cs="Times New Roman"/>
      <w:sz w:val="24"/>
      <w:szCs w:val="24"/>
      <w:lang w:eastAsia="en-US" w:bidi="en-US"/>
    </w:rPr>
  </w:style>
  <w:style w:type="paragraph" w:styleId="1025" w:customStyle="1">
    <w:name w:val="Body Text(ch)"/>
    <w:basedOn w:val="751"/>
    <w:next w:val="972"/>
    <w:uiPriority w:val="0"/>
    <w:qFormat/>
    <w:pPr>
      <w:spacing w:after="120"/>
    </w:pPr>
    <w:rPr>
      <w:rFonts w:ascii="宋体" w:hAnsi="Arial"/>
      <w:bCs/>
      <w:iCs/>
      <w:szCs w:val="24"/>
    </w:rPr>
  </w:style>
  <w:style w:type="paragraph" w:styleId="1026"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customStyle="1">
    <w:name w:val="Char"/>
    <w:basedOn w:val="751"/>
    <w:uiPriority w:val="0"/>
    <w:qFormat/>
    <w:pPr>
      <w:ind w:firstLine="200"/>
      <w:tabs>
        <w:tab w:val="left" w:pos="360" w:leader="none"/>
      </w:tabs>
    </w:pPr>
    <w:rPr>
      <w:sz w:val="28"/>
      <w:szCs w:val="30"/>
    </w:rPr>
  </w:style>
  <w:style w:type="paragraph" w:styleId="1029" w:customStyle="1">
    <w:name w:val=" Char"/>
    <w:basedOn w:val="966"/>
    <w:uiPriority w:val="0"/>
    <w:qFormat/>
    <w:rPr>
      <w:rFonts w:ascii="Tahoma" w:hAnsi="Tahoma"/>
      <w:sz w:val="24"/>
      <w:szCs w:val="24"/>
    </w:rPr>
  </w:style>
  <w:style w:type="paragraph" w:styleId="1030" w:customStyle="1">
    <w:name w:val="普通正文"/>
    <w:basedOn w:val="1031"/>
    <w:uiPriority w:val="0"/>
    <w:qFormat/>
    <w:pPr>
      <w:ind w:firstLine="480"/>
      <w:jc w:val="left"/>
      <w:spacing w:before="120" w:after="120" w:line="360" w:lineRule="auto"/>
    </w:pPr>
    <w:rPr>
      <w:rFonts w:ascii="Arial" w:hAnsi="Arial"/>
      <w:sz w:val="24"/>
      <w:szCs w:val="24"/>
    </w:rPr>
  </w:style>
  <w:style w:type="paragraph" w:styleId="1031" w:customStyle="1">
    <w:name w:val="正文1"/>
    <w:basedOn w:val="944"/>
    <w:next w:val="972"/>
    <w:uiPriority w:val="0"/>
    <w:qFormat/>
    <w:pPr>
      <w:ind w:firstLine="480"/>
      <w:spacing w:line="360" w:lineRule="auto"/>
    </w:pPr>
    <w:rPr>
      <w:rFonts w:ascii="宋体" w:hAnsi="宋体"/>
      <w:sz w:val="24"/>
      <w:szCs w:val="20"/>
    </w:rPr>
  </w:style>
  <w:style w:type="paragraph" w:styleId="1032" w:customStyle="1">
    <w:name w:val="table_lines"/>
    <w:basedOn w:val="751"/>
    <w:uiPriority w:val="0"/>
    <w:qFormat/>
    <w:pPr>
      <w:jc w:val="left"/>
      <w:widowControl/>
    </w:pPr>
    <w:rPr>
      <w:sz w:val="20"/>
      <w:szCs w:val="20"/>
      <w:lang w:val="de-DE" w:eastAsia="de-DE"/>
    </w:rPr>
  </w:style>
  <w:style w:type="paragraph" w:styleId="103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4"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 Char Char Char Char"/>
    <w:basedOn w:val="966"/>
    <w:uiPriority w:val="0"/>
    <w:qFormat/>
    <w:pPr>
      <w:spacing w:line="360" w:lineRule="auto"/>
    </w:pPr>
    <w:rPr>
      <w:rFonts w:ascii="Tahoma" w:hAnsi="Tahoma"/>
      <w:sz w:val="24"/>
      <w:szCs w:val="24"/>
    </w:rPr>
  </w:style>
  <w:style w:type="paragraph" w:styleId="1036" w:customStyle="1">
    <w:name w:val="列出段落"/>
    <w:basedOn w:val="751"/>
    <w:uiPriority w:val="0"/>
    <w:qFormat/>
    <w:pPr>
      <w:contextualSpacing/>
      <w:ind w:left="720"/>
      <w:jc w:val="left"/>
      <w:widowControl/>
    </w:pPr>
    <w:rPr>
      <w:rFonts w:ascii="Calibri" w:hAnsi="Calibri"/>
      <w:sz w:val="24"/>
      <w:szCs w:val="24"/>
      <w:lang w:eastAsia="en-US" w:bidi="en-US"/>
    </w:rPr>
  </w:style>
  <w:style w:type="paragraph" w:styleId="1037" w:customStyle="1">
    <w:name w:val="4"/>
    <w:basedOn w:val="751"/>
    <w:next w:val="999"/>
    <w:uiPriority w:val="0"/>
    <w:qFormat/>
    <w:pPr>
      <w:ind w:firstLine="420"/>
      <w:spacing w:line="360" w:lineRule="auto"/>
    </w:pPr>
    <w:rPr>
      <w:color w:val="ff0000"/>
      <w:sz w:val="24"/>
      <w:szCs w:val="24"/>
    </w:rPr>
  </w:style>
  <w:style w:type="paragraph" w:styleId="1038"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39" w:customStyle="1">
    <w:name w:val=" Char Char Char Char Char Char Char Char Char Char"/>
    <w:basedOn w:val="751"/>
    <w:uiPriority w:val="0"/>
    <w:qFormat/>
    <w:pPr>
      <w:spacing w:line="360" w:lineRule="auto"/>
    </w:pPr>
    <w:rPr>
      <w:sz w:val="24"/>
      <w:szCs w:val="20"/>
    </w:rPr>
  </w:style>
  <w:style w:type="paragraph" w:styleId="1040" w:customStyle="1">
    <w:name w:val="样式1"/>
    <w:basedOn w:val="751"/>
    <w:uiPriority w:val="0"/>
    <w:qFormat/>
    <w:pPr>
      <w:numPr>
        <w:ilvl w:val="0"/>
        <w:numId w:val="3"/>
      </w:numPr>
    </w:pPr>
    <w:rPr>
      <w:rFonts w:ascii="宋体" w:hAnsi="宋体"/>
    </w:rPr>
  </w:style>
  <w:style w:type="paragraph" w:styleId="1041"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45"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48"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50"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
    <w:basedOn w:val="966"/>
    <w:uiPriority w:val="0"/>
    <w:qFormat/>
    <w:pPr>
      <w:spacing w:line="360" w:lineRule="auto"/>
    </w:pPr>
    <w:rPr>
      <w:rFonts w:ascii="Tahoma" w:hAnsi="Tahoma"/>
      <w:sz w:val="24"/>
      <w:szCs w:val="24"/>
    </w:rPr>
  </w:style>
  <w:style w:type="paragraph" w:styleId="1052" w:customStyle="1">
    <w:name w:val="table_1stline"/>
    <w:basedOn w:val="751"/>
    <w:uiPriority w:val="0"/>
    <w:qFormat/>
    <w:pPr>
      <w:jc w:val="left"/>
      <w:spacing w:before="120"/>
      <w:widowControl/>
    </w:pPr>
    <w:rPr>
      <w:bCs/>
      <w:sz w:val="20"/>
      <w:szCs w:val="20"/>
      <w:lang w:val="de-DE" w:eastAsia="de-DE"/>
    </w:rPr>
  </w:style>
  <w:style w:type="paragraph" w:styleId="1053"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57" w:customStyle="1">
    <w:name w:val="font41"/>
    <w:link w:val="751"/>
    <w:uiPriority w:val="0"/>
    <w:qFormat/>
    <w:rPr>
      <w:rFonts w:ascii="Times New Roman" w:hAnsi="Times New Roman" w:cs="Times New Roman"/>
      <w:color w:val="000000"/>
      <w:sz w:val="20"/>
      <w:szCs w:val="20"/>
      <w:u w:val="none"/>
    </w:rPr>
  </w:style>
  <w:style w:type="character" w:styleId="1058" w:customStyle="1">
    <w:name w:val="font21"/>
    <w:link w:val="751"/>
    <w:uiPriority w:val="0"/>
    <w:qFormat/>
    <w:rPr>
      <w:rFonts w:hint="eastAsia" w:ascii="宋体" w:hAnsi="宋体" w:eastAsia="宋体" w:cs="宋体"/>
      <w:b/>
      <w:bCs/>
      <w:color w:val="000000"/>
      <w:sz w:val="20"/>
      <w:szCs w:val="20"/>
      <w:u w:val="none"/>
    </w:rPr>
  </w:style>
  <w:style w:type="character" w:styleId="1059" w:customStyle="1">
    <w:name w:val="font31"/>
    <w:link w:val="751"/>
    <w:uiPriority w:val="0"/>
    <w:qFormat/>
    <w:rPr>
      <w:rFonts w:ascii="Times New Roman" w:hAnsi="Times New Roman" w:cs="Times New Roman"/>
      <w:color w:val="000000"/>
      <w:sz w:val="20"/>
      <w:szCs w:val="20"/>
      <w:u w:val="none"/>
    </w:rPr>
  </w:style>
  <w:style w:type="paragraph" w:styleId="1060" w:customStyle="1">
    <w:name w:val="标题2"/>
    <w:uiPriority w:val="0"/>
    <w:qFormat/>
    <w:pPr>
      <w:spacing w:after="160" w:line="259" w:lineRule="auto"/>
    </w:pPr>
    <w:rPr>
      <w:rFonts w:ascii="Times New Roman" w:eastAsia="黑体" w:hAnsiTheme="minorHAnsi" w:cstheme="minorBidi"/>
      <w:b/>
      <w:sz w:val="32"/>
      <w:szCs w:val="32"/>
      <w:lang w:val="en-US" w:eastAsia="en-US" w:bidi="ar-SA"/>
    </w:rPr>
  </w:style>
  <w:style w:type="paragraph" w:styleId="1061" w:customStyle="1">
    <w:name w:val="样式 首行缩进:  0 字符"/>
    <w:basedOn w:val="751"/>
    <w:uiPriority w:val="0"/>
    <w:qFormat/>
    <w:pPr>
      <w:ind w:firstLine="200"/>
      <w:spacing w:line="360" w:lineRule="auto"/>
    </w:pPr>
    <w:rPr>
      <w:rFonts w:ascii="Times New Roman" w:hAnsi="Times New Roman"/>
      <w:szCs w:val="21"/>
    </w:rPr>
  </w:style>
  <w:style w:type="paragraph" w:styleId="1062" w:customStyle="1">
    <w:name w:val="样式21"/>
    <w:basedOn w:val="751"/>
    <w:uiPriority w:val="0"/>
    <w:qFormat/>
    <w:pPr>
      <w:numPr>
        <w:ilvl w:val="2"/>
        <w:numId w:val="4"/>
      </w:numPr>
      <w:jc w:val="left"/>
      <w:keepLines/>
      <w:keepNext/>
      <w:spacing w:before="120" w:after="120" w:line="415" w:lineRule="auto"/>
      <w:widowControl/>
      <w:tabs>
        <w:tab w:val="left" w:pos="720" w:leader="none"/>
      </w:tabs>
      <w:outlineLvl w:val="2"/>
    </w:pPr>
    <w:rPr>
      <w:rFonts w:ascii="宋体" w:hAnsi="宋体"/>
      <w:b/>
      <w:bCs/>
      <w:sz w:val="30"/>
      <w:szCs w:val="30"/>
      <w:lang w:val="zh-CN"/>
    </w:rPr>
  </w:style>
  <w:style w:type="paragraph" w:styleId="1063" w:customStyle="1">
    <w:name w:val="样式19"/>
    <w:basedOn w:val="751"/>
    <w:uiPriority w:val="0"/>
    <w:qFormat/>
    <w:pPr>
      <w:numPr>
        <w:ilvl w:val="3"/>
        <w:numId w:val="4"/>
      </w:numPr>
      <w:ind w:firstLine="0"/>
      <w:jc w:val="left"/>
      <w:keepLines/>
      <w:keepNext/>
      <w:spacing w:before="120" w:after="120" w:line="415" w:lineRule="auto"/>
      <w:widowControl/>
      <w:tabs>
        <w:tab w:val="left" w:pos="720" w:leader="none"/>
      </w:tabs>
      <w:outlineLvl w:val="3"/>
    </w:pPr>
    <w:rPr>
      <w:rFonts w:ascii="宋体" w:hAnsi="宋体"/>
      <w:b/>
      <w:bCs/>
      <w:sz w:val="30"/>
      <w:szCs w:val="30"/>
      <w:lang w:val="zh-CN"/>
    </w:rPr>
  </w:style>
  <w:style w:type="paragraph" w:styleId="1064" w:customStyle="1">
    <w:name w:val="正文2"/>
    <w:uiPriority w:val="0"/>
    <w:qFormat/>
    <w:pPr>
      <w:jc w:val="both"/>
      <w:widowControl w:val="off"/>
    </w:pPr>
    <w:rPr>
      <w:rFonts w:ascii="Calibri" w:hAnsi="Calibri" w:eastAsia="宋体" w:cs="Times New Roman"/>
      <w:sz w:val="21"/>
      <w:szCs w:val="22"/>
      <w:lang w:val="en-US" w:eastAsia="zh-CN" w:bidi="ar-SA"/>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薛佳敏</cp:lastModifiedBy>
  <cp:revision>14</cp:revision>
  <dcterms:created xsi:type="dcterms:W3CDTF">2023-03-16T02:16:00Z</dcterms:created>
  <dcterms:modified xsi:type="dcterms:W3CDTF">2026-06-09T05:49:16Z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eyJoZGlkIjoiNDYzZmQ0ZGY2ZDI1NzkyZjNlYTEzMWJmY2FmMzMzYWQiLCJ1c2VySWQiOiIxNjIxMDM3Mzc5In0=</vt:lpwstr>
  </property>
  <property fmtid="{D5CDD505-2E9C-101B-9397-08002B2CF9AE}" pid="3" name="KSOProductBuildVer">
    <vt:lpwstr>2052-12.1.0.26375</vt:lpwstr>
  </property>
  <property fmtid="{D5CDD505-2E9C-101B-9397-08002B2CF9AE}" pid="4" name="ICV">
    <vt:lpwstr>137E6F946EE8410AAEAEA20C72EBDD00_13</vt:lpwstr>
  </property>
</Properties>
</file>